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0CEB5">
      <w:pPr>
        <w:widowControl/>
        <w:snapToGrid w:val="0"/>
        <w:jc w:val="left"/>
        <w:textAlignment w:val="center"/>
        <w:rPr>
          <w:rFonts w:hint="eastAsia" w:ascii="黑体" w:hAnsi="黑体" w:eastAsia="黑体" w:cs="黑体"/>
          <w:b w:val="0"/>
          <w:bCs/>
          <w:kern w:val="0"/>
          <w:sz w:val="32"/>
          <w:szCs w:val="32"/>
          <w:highlight w:val="none"/>
          <w:lang w:eastAsia="zh-CN" w:bidi="ar"/>
        </w:rPr>
      </w:pPr>
      <w:r>
        <w:rPr>
          <w:rFonts w:hint="eastAsia" w:ascii="黑体" w:hAnsi="黑体" w:eastAsia="黑体" w:cs="黑体"/>
          <w:b w:val="0"/>
          <w:bCs/>
          <w:kern w:val="0"/>
          <w:sz w:val="32"/>
          <w:szCs w:val="32"/>
          <w:highlight w:val="none"/>
          <w:lang w:eastAsia="zh-CN" w:bidi="ar"/>
        </w:rPr>
        <w:t>附件</w:t>
      </w:r>
    </w:p>
    <w:p w14:paraId="76084BC4">
      <w:pPr>
        <w:widowControl/>
        <w:snapToGrid w:val="0"/>
        <w:jc w:val="left"/>
        <w:textAlignment w:val="center"/>
        <w:rPr>
          <w:rFonts w:hint="eastAsia" w:ascii="黑体" w:hAnsi="黑体" w:eastAsia="黑体" w:cs="黑体"/>
          <w:b w:val="0"/>
          <w:bCs/>
          <w:kern w:val="0"/>
          <w:sz w:val="32"/>
          <w:szCs w:val="32"/>
          <w:highlight w:val="none"/>
          <w:lang w:eastAsia="zh-CN" w:bidi="ar"/>
        </w:rPr>
      </w:pPr>
    </w:p>
    <w:p w14:paraId="4034849C">
      <w:pPr>
        <w:widowControl/>
        <w:snapToGrid w:val="0"/>
        <w:jc w:val="center"/>
        <w:textAlignment w:val="center"/>
        <w:rPr>
          <w:rFonts w:hint="eastAsia" w:ascii="宋体" w:hAnsi="宋体" w:cs="宋体"/>
          <w:b/>
          <w:kern w:val="0"/>
          <w:sz w:val="44"/>
          <w:szCs w:val="44"/>
          <w:highlight w:val="none"/>
          <w:lang w:eastAsia="zh-CN" w:bidi="ar"/>
        </w:rPr>
      </w:pPr>
      <w:r>
        <w:rPr>
          <w:rFonts w:hint="eastAsia" w:ascii="宋体" w:hAnsi="宋体" w:cs="宋体"/>
          <w:b/>
          <w:kern w:val="0"/>
          <w:sz w:val="44"/>
          <w:szCs w:val="44"/>
          <w:highlight w:val="none"/>
          <w:lang w:val="en-US" w:eastAsia="zh-CN" w:bidi="ar"/>
        </w:rPr>
        <w:t>辽宁省</w:t>
      </w:r>
      <w:r>
        <w:rPr>
          <w:rFonts w:hint="eastAsia" w:ascii="宋体" w:hAnsi="宋体" w:cs="宋体"/>
          <w:b/>
          <w:kern w:val="0"/>
          <w:sz w:val="44"/>
          <w:szCs w:val="44"/>
          <w:highlight w:val="none"/>
          <w:lang w:eastAsia="zh-CN" w:bidi="ar"/>
        </w:rPr>
        <w:t>水利厅建筑业（水利方面）企业资质</w:t>
      </w:r>
      <w:r>
        <w:rPr>
          <w:rFonts w:hint="eastAsia" w:ascii="宋体" w:hAnsi="宋体" w:cs="宋体"/>
          <w:b/>
          <w:kern w:val="0"/>
          <w:sz w:val="44"/>
          <w:szCs w:val="44"/>
          <w:highlight w:val="none"/>
          <w:lang w:val="en-US" w:eastAsia="zh-CN" w:bidi="ar"/>
        </w:rPr>
        <w:t>行业</w:t>
      </w:r>
      <w:r>
        <w:rPr>
          <w:rFonts w:hint="eastAsia" w:ascii="宋体" w:hAnsi="宋体" w:cs="宋体"/>
          <w:b/>
          <w:kern w:val="0"/>
          <w:sz w:val="44"/>
          <w:szCs w:val="44"/>
          <w:highlight w:val="none"/>
          <w:lang w:eastAsia="zh-CN" w:bidi="ar"/>
        </w:rPr>
        <w:t>审查意见汇总表</w:t>
      </w:r>
    </w:p>
    <w:p w14:paraId="37BD48BD">
      <w:pPr>
        <w:widowControl/>
        <w:snapToGrid w:val="0"/>
        <w:jc w:val="center"/>
        <w:textAlignment w:val="center"/>
        <w:rPr>
          <w:rFonts w:hint="eastAsia" w:ascii="楷体" w:hAnsi="楷体" w:eastAsia="楷体" w:cs="楷体"/>
          <w:b w:val="0"/>
          <w:bCs/>
          <w:i w:val="0"/>
          <w:iCs w:val="0"/>
          <w:kern w:val="0"/>
          <w:sz w:val="32"/>
          <w:szCs w:val="32"/>
          <w:highlight w:val="none"/>
          <w:lang w:eastAsia="zh-CN" w:bidi="ar"/>
        </w:rPr>
      </w:pPr>
      <w:r>
        <w:rPr>
          <w:rFonts w:hint="eastAsia" w:ascii="楷体" w:hAnsi="楷体" w:eastAsia="楷体" w:cs="楷体"/>
          <w:b w:val="0"/>
          <w:bCs/>
          <w:i w:val="0"/>
          <w:iCs w:val="0"/>
          <w:kern w:val="0"/>
          <w:sz w:val="32"/>
          <w:szCs w:val="32"/>
          <w:highlight w:val="none"/>
          <w:lang w:eastAsia="zh-CN" w:bidi="ar"/>
        </w:rPr>
        <w:t>（</w:t>
      </w:r>
      <w:r>
        <w:rPr>
          <w:rFonts w:hint="eastAsia" w:ascii="楷体" w:hAnsi="楷体" w:eastAsia="楷体" w:cs="楷体"/>
          <w:b w:val="0"/>
          <w:bCs/>
          <w:i w:val="0"/>
          <w:iCs w:val="0"/>
          <w:kern w:val="0"/>
          <w:sz w:val="32"/>
          <w:szCs w:val="32"/>
          <w:highlight w:val="none"/>
          <w:lang w:val="en-US" w:eastAsia="zh-CN" w:bidi="ar"/>
        </w:rPr>
        <w:t>2026年第九批</w:t>
      </w:r>
      <w:r>
        <w:rPr>
          <w:rFonts w:hint="eastAsia" w:ascii="楷体" w:hAnsi="楷体" w:eastAsia="楷体" w:cs="楷体"/>
          <w:b w:val="0"/>
          <w:bCs/>
          <w:i w:val="0"/>
          <w:iCs w:val="0"/>
          <w:kern w:val="0"/>
          <w:sz w:val="32"/>
          <w:szCs w:val="32"/>
          <w:highlight w:val="none"/>
          <w:lang w:eastAsia="zh-CN" w:bidi="ar"/>
        </w:rPr>
        <w:t>）</w:t>
      </w:r>
    </w:p>
    <w:p w14:paraId="696D6A70">
      <w:pPr>
        <w:widowControl/>
        <w:snapToGrid w:val="0"/>
        <w:jc w:val="center"/>
        <w:textAlignment w:val="center"/>
        <w:rPr>
          <w:rFonts w:hint="eastAsia" w:ascii="楷体" w:hAnsi="楷体" w:eastAsia="楷体" w:cs="楷体"/>
          <w:b w:val="0"/>
          <w:bCs/>
          <w:i w:val="0"/>
          <w:iCs w:val="0"/>
          <w:kern w:val="0"/>
          <w:sz w:val="32"/>
          <w:szCs w:val="32"/>
          <w:highlight w:val="none"/>
          <w:lang w:eastAsia="zh-CN" w:bidi="ar"/>
        </w:rPr>
      </w:pPr>
    </w:p>
    <w:tbl>
      <w:tblPr>
        <w:tblStyle w:val="5"/>
        <w:tblW w:w="14055" w:type="dxa"/>
        <w:jc w:val="center"/>
        <w:tblLayout w:type="fixed"/>
        <w:tblCellMar>
          <w:top w:w="0" w:type="dxa"/>
          <w:left w:w="108" w:type="dxa"/>
          <w:bottom w:w="0" w:type="dxa"/>
          <w:right w:w="108" w:type="dxa"/>
        </w:tblCellMar>
      </w:tblPr>
      <w:tblGrid>
        <w:gridCol w:w="900"/>
        <w:gridCol w:w="3405"/>
        <w:gridCol w:w="4380"/>
        <w:gridCol w:w="5370"/>
      </w:tblGrid>
      <w:tr w14:paraId="34043B4A">
        <w:tblPrEx>
          <w:tblCellMar>
            <w:top w:w="0" w:type="dxa"/>
            <w:left w:w="108" w:type="dxa"/>
            <w:bottom w:w="0" w:type="dxa"/>
            <w:right w:w="108" w:type="dxa"/>
          </w:tblCellMar>
        </w:tblPrEx>
        <w:trPr>
          <w:trHeight w:val="699" w:hRule="atLeast"/>
          <w:tblHeader/>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741FBA78">
            <w:pPr>
              <w:widowControl/>
              <w:snapToGrid w:val="0"/>
              <w:jc w:val="center"/>
              <w:textAlignment w:val="center"/>
              <w:rPr>
                <w:rFonts w:hint="eastAsia" w:ascii="宋体" w:hAnsi="宋体" w:cs="宋体"/>
                <w:b/>
                <w:sz w:val="24"/>
                <w:highlight w:val="none"/>
              </w:rPr>
            </w:pPr>
            <w:r>
              <w:rPr>
                <w:rFonts w:hint="eastAsia" w:ascii="宋体" w:hAnsi="宋体" w:cs="宋体"/>
                <w:b/>
                <w:kern w:val="0"/>
                <w:sz w:val="24"/>
                <w:highlight w:val="none"/>
                <w:lang w:bidi="ar"/>
              </w:rPr>
              <w:t>序号</w:t>
            </w:r>
          </w:p>
        </w:tc>
        <w:tc>
          <w:tcPr>
            <w:tcW w:w="3405" w:type="dxa"/>
            <w:tcBorders>
              <w:top w:val="single" w:color="000000" w:sz="4" w:space="0"/>
              <w:left w:val="single" w:color="000000" w:sz="4" w:space="0"/>
              <w:bottom w:val="single" w:color="000000" w:sz="4" w:space="0"/>
              <w:right w:val="single" w:color="000000" w:sz="4" w:space="0"/>
            </w:tcBorders>
            <w:vAlign w:val="center"/>
          </w:tcPr>
          <w:p w14:paraId="500CE289">
            <w:pPr>
              <w:widowControl/>
              <w:snapToGrid w:val="0"/>
              <w:jc w:val="center"/>
              <w:textAlignment w:val="center"/>
              <w:rPr>
                <w:rFonts w:hint="eastAsia" w:ascii="宋体" w:hAnsi="宋体" w:cs="宋体"/>
                <w:b/>
                <w:sz w:val="24"/>
                <w:highlight w:val="none"/>
              </w:rPr>
            </w:pPr>
            <w:r>
              <w:rPr>
                <w:rFonts w:hint="eastAsia" w:ascii="宋体" w:hAnsi="宋体" w:cs="宋体"/>
                <w:b/>
                <w:kern w:val="0"/>
                <w:sz w:val="24"/>
                <w:highlight w:val="none"/>
                <w:lang w:bidi="ar"/>
              </w:rPr>
              <w:t>企业名称</w:t>
            </w:r>
          </w:p>
        </w:tc>
        <w:tc>
          <w:tcPr>
            <w:tcW w:w="4380" w:type="dxa"/>
            <w:tcBorders>
              <w:top w:val="single" w:color="000000" w:sz="4" w:space="0"/>
              <w:left w:val="single" w:color="000000" w:sz="4" w:space="0"/>
              <w:bottom w:val="single" w:color="000000" w:sz="4" w:space="0"/>
              <w:right w:val="single" w:color="000000" w:sz="4" w:space="0"/>
            </w:tcBorders>
            <w:vAlign w:val="center"/>
          </w:tcPr>
          <w:p w14:paraId="7C231DC8">
            <w:pPr>
              <w:widowControl/>
              <w:snapToGrid w:val="0"/>
              <w:jc w:val="center"/>
              <w:textAlignment w:val="center"/>
              <w:rPr>
                <w:rFonts w:hint="eastAsia" w:ascii="宋体" w:hAnsi="宋体" w:cs="宋体"/>
                <w:b/>
                <w:sz w:val="24"/>
                <w:highlight w:val="none"/>
              </w:rPr>
            </w:pPr>
            <w:r>
              <w:rPr>
                <w:rFonts w:hint="eastAsia" w:ascii="宋体" w:hAnsi="宋体" w:cs="宋体"/>
                <w:b/>
                <w:kern w:val="0"/>
                <w:sz w:val="24"/>
                <w:highlight w:val="none"/>
                <w:lang w:bidi="ar"/>
              </w:rPr>
              <w:t>申请事项</w:t>
            </w:r>
          </w:p>
        </w:tc>
        <w:tc>
          <w:tcPr>
            <w:tcW w:w="5370" w:type="dxa"/>
            <w:tcBorders>
              <w:top w:val="single" w:color="000000" w:sz="4" w:space="0"/>
              <w:left w:val="single" w:color="000000" w:sz="4" w:space="0"/>
              <w:bottom w:val="single" w:color="000000" w:sz="4" w:space="0"/>
              <w:right w:val="single" w:color="000000" w:sz="4" w:space="0"/>
            </w:tcBorders>
            <w:vAlign w:val="center"/>
          </w:tcPr>
          <w:p w14:paraId="27D96502">
            <w:pPr>
              <w:widowControl/>
              <w:snapToGrid w:val="0"/>
              <w:jc w:val="center"/>
              <w:textAlignment w:val="center"/>
              <w:rPr>
                <w:rFonts w:hint="eastAsia" w:ascii="宋体" w:hAnsi="宋体" w:eastAsia="宋体" w:cs="宋体"/>
                <w:b/>
                <w:kern w:val="0"/>
                <w:sz w:val="24"/>
                <w:highlight w:val="none"/>
                <w:lang w:eastAsia="zh-CN" w:bidi="ar"/>
              </w:rPr>
            </w:pPr>
            <w:r>
              <w:rPr>
                <w:rFonts w:hint="eastAsia" w:ascii="宋体" w:hAnsi="宋体" w:cs="宋体"/>
                <w:b/>
                <w:kern w:val="0"/>
                <w:sz w:val="24"/>
                <w:highlight w:val="none"/>
                <w:lang w:bidi="ar"/>
              </w:rPr>
              <w:t>审查</w:t>
            </w:r>
            <w:r>
              <w:rPr>
                <w:rFonts w:hint="eastAsia" w:ascii="宋体" w:hAnsi="宋体" w:cs="宋体"/>
                <w:b/>
                <w:kern w:val="0"/>
                <w:sz w:val="24"/>
                <w:highlight w:val="none"/>
                <w:lang w:val="en-US" w:eastAsia="zh-CN" w:bidi="ar"/>
              </w:rPr>
              <w:t>意见</w:t>
            </w:r>
          </w:p>
        </w:tc>
      </w:tr>
      <w:tr w14:paraId="216BADCC">
        <w:tblPrEx>
          <w:tblCellMar>
            <w:top w:w="0" w:type="dxa"/>
            <w:left w:w="108" w:type="dxa"/>
            <w:bottom w:w="0" w:type="dxa"/>
            <w:right w:w="108" w:type="dxa"/>
          </w:tblCellMar>
        </w:tblPrEx>
        <w:trPr>
          <w:trHeight w:val="1061"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0281690A">
            <w:pPr>
              <w:widowControl/>
              <w:numPr>
                <w:ilvl w:val="0"/>
                <w:numId w:val="1"/>
              </w:numPr>
              <w:snapToGrid w:val="0"/>
              <w:ind w:firstLine="0"/>
              <w:jc w:val="center"/>
              <w:textAlignment w:val="center"/>
              <w:rPr>
                <w:rFonts w:hint="eastAsia" w:ascii="仿宋_GB2312" w:hAnsi="仿宋_GB2312" w:eastAsia="仿宋_GB2312" w:cs="仿宋_GB2312"/>
                <w:bCs/>
                <w:color w:val="000000"/>
                <w:sz w:val="24"/>
                <w:szCs w:val="24"/>
                <w:highlight w:val="none"/>
              </w:rPr>
            </w:pP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CE34">
            <w:pPr>
              <w:widowControl/>
              <w:snapToGrid w:val="0"/>
              <w:jc w:val="left"/>
              <w:textAlignment w:val="center"/>
              <w:rPr>
                <w:rFonts w:hint="eastAsia" w:ascii="仿宋_GB2312" w:hAnsi="仿宋_GB2312" w:eastAsia="仿宋_GB2312" w:cs="仿宋_GB2312"/>
                <w:bCs/>
                <w:color w:val="000000"/>
                <w:kern w:val="2"/>
                <w:sz w:val="24"/>
                <w:szCs w:val="24"/>
                <w:highlight w:val="none"/>
                <w:lang w:val="en-US" w:eastAsia="zh-CN" w:bidi="ar-SA"/>
              </w:rPr>
            </w:pPr>
            <w:r>
              <w:rPr>
                <w:rFonts w:hint="eastAsia" w:ascii="仿宋_GB2312" w:hAnsi="仿宋_GB2312" w:eastAsia="仿宋_GB2312" w:cs="仿宋_GB2312"/>
                <w:bCs/>
                <w:color w:val="000000"/>
                <w:kern w:val="2"/>
                <w:sz w:val="24"/>
                <w:szCs w:val="24"/>
                <w:highlight w:val="none"/>
                <w:lang w:val="en-US" w:eastAsia="zh-CN" w:bidi="ar-SA"/>
              </w:rPr>
              <w:fldChar w:fldCharType="begin"/>
            </w:r>
            <w:r>
              <w:rPr>
                <w:rFonts w:hint="eastAsia" w:ascii="仿宋_GB2312" w:hAnsi="仿宋_GB2312" w:eastAsia="仿宋_GB2312" w:cs="仿宋_GB2312"/>
                <w:bCs/>
                <w:color w:val="000000"/>
                <w:kern w:val="2"/>
                <w:sz w:val="24"/>
                <w:szCs w:val="24"/>
                <w:highlight w:val="none"/>
                <w:lang w:val="en-US" w:eastAsia="zh-CN" w:bidi="ar-SA"/>
              </w:rPr>
              <w:instrText xml:space="preserve"> HYPERLINK "https://59.197.161.2/hz_aeaa/todo/more_manage?parentlink=304B9AA0-7B24-4CA0-B4C8-1A81DBB1E6C2&amp;sonlink=B23D966E-8075-4F9A-A154-1AFF5539C047" </w:instrText>
            </w:r>
            <w:r>
              <w:rPr>
                <w:rFonts w:hint="eastAsia" w:ascii="仿宋_GB2312" w:hAnsi="仿宋_GB2312" w:eastAsia="仿宋_GB2312" w:cs="仿宋_GB2312"/>
                <w:bCs/>
                <w:color w:val="000000"/>
                <w:kern w:val="2"/>
                <w:sz w:val="24"/>
                <w:szCs w:val="24"/>
                <w:highlight w:val="none"/>
                <w:lang w:val="en-US" w:eastAsia="zh-CN" w:bidi="ar-SA"/>
              </w:rPr>
              <w:fldChar w:fldCharType="separate"/>
            </w:r>
            <w:r>
              <w:rPr>
                <w:rFonts w:hint="eastAsia" w:ascii="仿宋_GB2312" w:hAnsi="仿宋_GB2312" w:eastAsia="仿宋_GB2312" w:cs="仿宋_GB2312"/>
                <w:bCs/>
                <w:color w:val="000000"/>
                <w:kern w:val="2"/>
                <w:sz w:val="24"/>
                <w:szCs w:val="24"/>
                <w:highlight w:val="none"/>
                <w:lang w:val="en-US" w:eastAsia="zh-CN" w:bidi="ar-SA"/>
              </w:rPr>
              <w:t>辽宁丰拓建设工程有限公司</w:t>
            </w:r>
            <w:r>
              <w:rPr>
                <w:rFonts w:hint="eastAsia" w:ascii="仿宋_GB2312" w:hAnsi="仿宋_GB2312" w:eastAsia="仿宋_GB2312" w:cs="仿宋_GB2312"/>
                <w:bCs/>
                <w:color w:val="000000"/>
                <w:kern w:val="2"/>
                <w:sz w:val="24"/>
                <w:szCs w:val="24"/>
                <w:highlight w:val="none"/>
                <w:lang w:val="en-US" w:eastAsia="zh-CN" w:bidi="ar-SA"/>
              </w:rPr>
              <w:fldChar w:fldCharType="end"/>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05FF">
            <w:pPr>
              <w:widowControl/>
              <w:snapToGrid w:val="0"/>
              <w:jc w:val="left"/>
              <w:textAlignment w:val="center"/>
              <w:rPr>
                <w:rFonts w:hint="eastAsia" w:ascii="仿宋_GB2312" w:hAnsi="仿宋_GB2312" w:eastAsia="仿宋_GB2312" w:cs="仿宋_GB2312"/>
                <w:bCs/>
                <w:color w:val="000000"/>
                <w:kern w:val="2"/>
                <w:sz w:val="24"/>
                <w:szCs w:val="24"/>
                <w:highlight w:val="none"/>
                <w:lang w:val="en-US" w:eastAsia="zh-CN" w:bidi="ar-SA"/>
              </w:rPr>
            </w:pPr>
            <w:r>
              <w:rPr>
                <w:rFonts w:hint="eastAsia" w:ascii="仿宋_GB2312" w:hAnsi="仿宋_GB2312" w:eastAsia="仿宋_GB2312" w:cs="仿宋_GB2312"/>
                <w:bCs/>
                <w:color w:val="000000"/>
                <w:sz w:val="24"/>
                <w:szCs w:val="24"/>
                <w:highlight w:val="none"/>
                <w:lang w:val="en-US" w:eastAsia="zh-CN"/>
              </w:rPr>
              <w:t>建筑业企业资质认定（水利方面）-设立</w:t>
            </w:r>
          </w:p>
        </w:tc>
        <w:tc>
          <w:tcPr>
            <w:tcW w:w="5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893C">
            <w:pPr>
              <w:widowControl/>
              <w:snapToGrid w:val="0"/>
              <w:jc w:val="left"/>
              <w:textAlignment w:val="center"/>
              <w:rPr>
                <w:rFonts w:hint="eastAsia" w:ascii="仿宋_GB2312" w:hAnsi="仿宋_GB2312" w:eastAsia="仿宋_GB2312" w:cs="仿宋_GB2312"/>
                <w:b w:val="0"/>
                <w:bCs/>
                <w:color w:val="000000"/>
                <w:kern w:val="0"/>
                <w:sz w:val="24"/>
                <w:szCs w:val="24"/>
                <w:highlight w:val="none"/>
                <w:lang w:val="en-US" w:eastAsia="zh-CN" w:bidi="ar"/>
              </w:rPr>
            </w:pPr>
            <w:r>
              <w:rPr>
                <w:rFonts w:hint="eastAsia" w:ascii="仿宋_GB2312" w:hAnsi="仿宋_GB2312" w:eastAsia="仿宋_GB2312" w:cs="仿宋_GB2312"/>
                <w:b/>
                <w:bCs w:val="0"/>
                <w:color w:val="000000"/>
                <w:kern w:val="0"/>
                <w:sz w:val="24"/>
                <w:szCs w:val="24"/>
                <w:highlight w:val="none"/>
                <w:lang w:val="en-US" w:eastAsia="zh-CN" w:bidi="ar"/>
              </w:rPr>
              <w:t>符合资质要求。</w:t>
            </w:r>
          </w:p>
        </w:tc>
      </w:tr>
      <w:tr w14:paraId="7E355BD7">
        <w:tblPrEx>
          <w:tblCellMar>
            <w:top w:w="0" w:type="dxa"/>
            <w:left w:w="108" w:type="dxa"/>
            <w:bottom w:w="0" w:type="dxa"/>
            <w:right w:w="108" w:type="dxa"/>
          </w:tblCellMar>
        </w:tblPrEx>
        <w:trPr>
          <w:trHeight w:val="1061"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484A0E73">
            <w:pPr>
              <w:widowControl/>
              <w:numPr>
                <w:ilvl w:val="0"/>
                <w:numId w:val="1"/>
              </w:numPr>
              <w:snapToGrid w:val="0"/>
              <w:ind w:firstLine="0"/>
              <w:jc w:val="center"/>
              <w:textAlignment w:val="center"/>
              <w:rPr>
                <w:rFonts w:hint="eastAsia" w:ascii="仿宋_GB2312" w:hAnsi="仿宋_GB2312" w:eastAsia="仿宋_GB2312" w:cs="仿宋_GB2312"/>
                <w:bCs/>
                <w:color w:val="000000"/>
                <w:sz w:val="24"/>
                <w:szCs w:val="24"/>
                <w:highlight w:val="none"/>
              </w:rPr>
            </w:pP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1596">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fldChar w:fldCharType="begin"/>
            </w:r>
            <w:r>
              <w:rPr>
                <w:rFonts w:hint="eastAsia" w:ascii="仿宋_GB2312" w:hAnsi="仿宋_GB2312" w:eastAsia="仿宋_GB2312" w:cs="仿宋_GB2312"/>
                <w:bCs/>
                <w:color w:val="000000"/>
                <w:sz w:val="24"/>
                <w:szCs w:val="24"/>
                <w:highlight w:val="none"/>
                <w:lang w:val="en-US" w:eastAsia="zh-CN"/>
              </w:rPr>
              <w:instrText xml:space="preserve"> HYPERLINK "https://59.197.161.2/hz_aeaa/todo/more_manage?parentlink=304B9AA0-7B24-4CA0-B4C8-1A81DBB1E6C2&amp;sonlink=B23D966E-8075-4F9A-A154-1AFF5539C047" </w:instrText>
            </w:r>
            <w:r>
              <w:rPr>
                <w:rFonts w:hint="eastAsia" w:ascii="仿宋_GB2312" w:hAnsi="仿宋_GB2312" w:eastAsia="仿宋_GB2312" w:cs="仿宋_GB2312"/>
                <w:bCs/>
                <w:color w:val="000000"/>
                <w:sz w:val="24"/>
                <w:szCs w:val="24"/>
                <w:highlight w:val="none"/>
                <w:lang w:val="en-US" w:eastAsia="zh-CN"/>
              </w:rPr>
              <w:fldChar w:fldCharType="separate"/>
            </w:r>
            <w:r>
              <w:rPr>
                <w:rFonts w:hint="eastAsia" w:ascii="仿宋_GB2312" w:hAnsi="仿宋_GB2312" w:eastAsia="仿宋_GB2312" w:cs="仿宋_GB2312"/>
                <w:bCs/>
                <w:color w:val="000000"/>
                <w:sz w:val="24"/>
                <w:szCs w:val="24"/>
                <w:highlight w:val="none"/>
                <w:lang w:val="en-US" w:eastAsia="zh-CN"/>
              </w:rPr>
              <w:t>大连金堃水利水电工程有限公司</w:t>
            </w:r>
            <w:r>
              <w:rPr>
                <w:rFonts w:hint="eastAsia" w:ascii="仿宋_GB2312" w:hAnsi="仿宋_GB2312" w:eastAsia="仿宋_GB2312" w:cs="仿宋_GB2312"/>
                <w:bCs/>
                <w:color w:val="000000"/>
                <w:sz w:val="24"/>
                <w:szCs w:val="24"/>
                <w:highlight w:val="none"/>
                <w:lang w:val="en-US" w:eastAsia="zh-CN"/>
              </w:rPr>
              <w:fldChar w:fldCharType="end"/>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2071">
            <w:pPr>
              <w:widowControl/>
              <w:snapToGrid w:val="0"/>
              <w:jc w:val="left"/>
              <w:textAlignment w:val="center"/>
              <w:rPr>
                <w:rFonts w:hint="eastAsia" w:ascii="仿宋_GB2312" w:hAnsi="仿宋_GB2312" w:eastAsia="仿宋_GB2312" w:cs="仿宋_GB2312"/>
                <w:bCs/>
                <w:color w:val="000000"/>
                <w:kern w:val="2"/>
                <w:sz w:val="24"/>
                <w:szCs w:val="24"/>
                <w:highlight w:val="none"/>
                <w:lang w:val="en-US" w:eastAsia="zh-CN" w:bidi="ar-SA"/>
              </w:rPr>
            </w:pPr>
            <w:r>
              <w:rPr>
                <w:rFonts w:hint="eastAsia" w:ascii="仿宋_GB2312" w:hAnsi="仿宋_GB2312" w:eastAsia="仿宋_GB2312" w:cs="仿宋_GB2312"/>
                <w:bCs/>
                <w:color w:val="000000"/>
                <w:sz w:val="24"/>
                <w:szCs w:val="24"/>
                <w:highlight w:val="none"/>
                <w:lang w:val="en-US" w:eastAsia="zh-CN"/>
              </w:rPr>
              <w:t>建筑业企业资质认定（水利方面）-增项</w:t>
            </w:r>
          </w:p>
        </w:tc>
        <w:tc>
          <w:tcPr>
            <w:tcW w:w="5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6A15">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bCs w:val="0"/>
                <w:color w:val="000000"/>
                <w:kern w:val="0"/>
                <w:sz w:val="24"/>
                <w:szCs w:val="24"/>
                <w:highlight w:val="none"/>
                <w:lang w:val="en-US" w:eastAsia="zh-CN" w:bidi="ar"/>
              </w:rPr>
              <w:t>符合资质要求。</w:t>
            </w:r>
          </w:p>
        </w:tc>
      </w:tr>
      <w:tr w14:paraId="5503A1FD">
        <w:tblPrEx>
          <w:tblCellMar>
            <w:top w:w="0" w:type="dxa"/>
            <w:left w:w="108" w:type="dxa"/>
            <w:bottom w:w="0" w:type="dxa"/>
            <w:right w:w="108" w:type="dxa"/>
          </w:tblCellMar>
        </w:tblPrEx>
        <w:trPr>
          <w:trHeight w:val="3447"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0410A712">
            <w:pPr>
              <w:widowControl/>
              <w:numPr>
                <w:ilvl w:val="0"/>
                <w:numId w:val="1"/>
              </w:numPr>
              <w:snapToGrid w:val="0"/>
              <w:ind w:firstLine="0"/>
              <w:jc w:val="center"/>
              <w:textAlignment w:val="center"/>
              <w:rPr>
                <w:rFonts w:hint="eastAsia" w:ascii="仿宋_GB2312" w:hAnsi="仿宋_GB2312" w:eastAsia="仿宋_GB2312" w:cs="仿宋_GB2312"/>
                <w:bCs/>
                <w:color w:val="000000"/>
                <w:sz w:val="24"/>
                <w:szCs w:val="24"/>
                <w:highlight w:val="none"/>
              </w:rPr>
            </w:pP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2581">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辽宁凯方建设有限公司</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D10D">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建筑业企业资质认定（水利方面）-升级</w:t>
            </w:r>
          </w:p>
        </w:tc>
        <w:tc>
          <w:tcPr>
            <w:tcW w:w="5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D587">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bCs w:val="0"/>
                <w:color w:val="000000"/>
                <w:kern w:val="0"/>
                <w:sz w:val="24"/>
                <w:szCs w:val="24"/>
                <w:highlight w:val="none"/>
                <w:lang w:val="en-US" w:eastAsia="zh-CN" w:bidi="ar"/>
              </w:rPr>
              <w:t>不符合资质要求。</w:t>
            </w:r>
          </w:p>
          <w:p w14:paraId="24CC9E98">
            <w:pPr>
              <w:widowControl/>
              <w:snapToGrid w:val="0"/>
              <w:jc w:val="left"/>
              <w:textAlignment w:val="center"/>
              <w:rPr>
                <w:rFonts w:hint="eastAsia" w:ascii="仿宋_GB2312" w:hAnsi="仿宋_GB2312" w:eastAsia="仿宋_GB2312" w:cs="仿宋_GB2312"/>
                <w:b w:val="0"/>
                <w:bCs/>
                <w:color w:val="000000"/>
                <w:kern w:val="0"/>
                <w:sz w:val="24"/>
                <w:szCs w:val="24"/>
                <w:highlight w:val="none"/>
                <w:lang w:val="en-US" w:eastAsia="zh-CN" w:bidi="ar"/>
              </w:rPr>
            </w:pPr>
            <w:r>
              <w:rPr>
                <w:rFonts w:hint="eastAsia" w:ascii="仿宋_GB2312" w:hAnsi="仿宋_GB2312" w:eastAsia="仿宋_GB2312" w:cs="仿宋_GB2312"/>
                <w:b w:val="0"/>
                <w:bCs/>
                <w:color w:val="000000"/>
                <w:kern w:val="0"/>
                <w:sz w:val="24"/>
                <w:szCs w:val="24"/>
                <w:highlight w:val="none"/>
                <w:lang w:val="en-US" w:eastAsia="zh-CN" w:bidi="ar"/>
              </w:rPr>
              <w:t>未提供当期全套财务报表。未提供2500万未分配利润变动的书面说明及对应财务依据，财务报表中数据间勾稽关系存疑。业绩“金山区中运河延伸段区域河道整治工程1标”合同完工验收鉴定书签章主体不符合规范要求。业绩“川沙、大团等六个镇城乡中小河道综合整治工程(二期)”证明材料中的工程量与全国水利建设市场监管平台信息不一致。</w:t>
            </w:r>
          </w:p>
        </w:tc>
      </w:tr>
      <w:tr w14:paraId="0D6A6A3B">
        <w:tblPrEx>
          <w:tblCellMar>
            <w:top w:w="0" w:type="dxa"/>
            <w:left w:w="108" w:type="dxa"/>
            <w:bottom w:w="0" w:type="dxa"/>
            <w:right w:w="108" w:type="dxa"/>
          </w:tblCellMar>
        </w:tblPrEx>
        <w:trPr>
          <w:trHeight w:val="3554"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5E73D8D6">
            <w:pPr>
              <w:widowControl/>
              <w:numPr>
                <w:ilvl w:val="0"/>
                <w:numId w:val="1"/>
              </w:numPr>
              <w:snapToGrid w:val="0"/>
              <w:ind w:firstLine="0"/>
              <w:jc w:val="center"/>
              <w:textAlignment w:val="center"/>
              <w:rPr>
                <w:rFonts w:hint="eastAsia" w:ascii="仿宋_GB2312" w:hAnsi="仿宋_GB2312" w:eastAsia="仿宋_GB2312" w:cs="仿宋_GB2312"/>
                <w:bCs/>
                <w:color w:val="000000"/>
                <w:sz w:val="24"/>
                <w:szCs w:val="24"/>
                <w:highlight w:val="none"/>
              </w:rPr>
            </w:pP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3299">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大连良宇建设工程有限公司</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0F1B">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建筑业企业资质认定（水利方面）-设立</w:t>
            </w:r>
          </w:p>
        </w:tc>
        <w:tc>
          <w:tcPr>
            <w:tcW w:w="5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8707">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bCs w:val="0"/>
                <w:color w:val="000000"/>
                <w:kern w:val="0"/>
                <w:sz w:val="24"/>
                <w:szCs w:val="24"/>
                <w:highlight w:val="none"/>
                <w:lang w:val="en-US" w:eastAsia="zh-CN" w:bidi="ar"/>
              </w:rPr>
              <w:t>不符合资质要求。</w:t>
            </w:r>
          </w:p>
          <w:p w14:paraId="326D1BA2">
            <w:pPr>
              <w:widowControl/>
              <w:snapToGrid w:val="0"/>
              <w:jc w:val="left"/>
              <w:textAlignment w:val="center"/>
              <w:rPr>
                <w:rFonts w:hint="eastAsia" w:ascii="仿宋_GB2312" w:hAnsi="仿宋_GB2312" w:eastAsia="仿宋_GB2312" w:cs="仿宋_GB2312"/>
                <w:b w:val="0"/>
                <w:bCs/>
                <w:color w:val="000000"/>
                <w:kern w:val="0"/>
                <w:sz w:val="24"/>
                <w:szCs w:val="24"/>
                <w:highlight w:val="none"/>
                <w:lang w:val="en-US" w:eastAsia="zh-CN" w:bidi="ar"/>
              </w:rPr>
            </w:pPr>
            <w:r>
              <w:rPr>
                <w:rFonts w:hint="eastAsia" w:ascii="仿宋_GB2312" w:hAnsi="仿宋_GB2312" w:eastAsia="仿宋_GB2312" w:cs="仿宋_GB2312"/>
                <w:b w:val="0"/>
                <w:bCs/>
                <w:color w:val="000000"/>
                <w:kern w:val="0"/>
                <w:sz w:val="24"/>
                <w:szCs w:val="24"/>
                <w:highlight w:val="none"/>
                <w:lang w:val="en-US" w:eastAsia="zh-CN" w:bidi="ar"/>
              </w:rPr>
              <w:t>业绩均未提供工程结算单。技术负责人本人签字在申报材料及业绩证明材料中笔迹存在差异。业绩“马鞍山慈湖河中游(东环路-林里路)综合治理BT(建设移交)项目雨水排涝泵站工程”证明材料中提供了时间有冲突的两份合同协议书。</w:t>
            </w:r>
          </w:p>
        </w:tc>
      </w:tr>
      <w:tr w14:paraId="76FB6230">
        <w:tblPrEx>
          <w:tblCellMar>
            <w:top w:w="0" w:type="dxa"/>
            <w:left w:w="108" w:type="dxa"/>
            <w:bottom w:w="0" w:type="dxa"/>
            <w:right w:w="108" w:type="dxa"/>
          </w:tblCellMar>
        </w:tblPrEx>
        <w:trPr>
          <w:trHeight w:val="3920"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108B7A41">
            <w:pPr>
              <w:widowControl/>
              <w:numPr>
                <w:ilvl w:val="0"/>
                <w:numId w:val="1"/>
              </w:numPr>
              <w:snapToGrid w:val="0"/>
              <w:ind w:firstLine="0"/>
              <w:jc w:val="center"/>
              <w:textAlignment w:val="center"/>
              <w:rPr>
                <w:rFonts w:hint="eastAsia" w:ascii="仿宋_GB2312" w:hAnsi="仿宋_GB2312" w:eastAsia="仿宋_GB2312" w:cs="仿宋_GB2312"/>
                <w:bCs/>
                <w:color w:val="000000"/>
                <w:sz w:val="24"/>
                <w:szCs w:val="24"/>
                <w:highlight w:val="none"/>
              </w:rPr>
            </w:pP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A905">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天平项目管理有限公司</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CD4E">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建筑业企业资质认定（水利方面）-增项</w:t>
            </w:r>
          </w:p>
        </w:tc>
        <w:tc>
          <w:tcPr>
            <w:tcW w:w="5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E4D4">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bCs w:val="0"/>
                <w:color w:val="000000"/>
                <w:kern w:val="0"/>
                <w:sz w:val="24"/>
                <w:szCs w:val="24"/>
                <w:highlight w:val="none"/>
                <w:lang w:val="en-US" w:eastAsia="zh-CN" w:bidi="ar"/>
              </w:rPr>
              <w:t>不符合资质要求。</w:t>
            </w:r>
          </w:p>
          <w:p w14:paraId="1A3AF736">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val="0"/>
                <w:bCs/>
                <w:color w:val="000000"/>
                <w:kern w:val="0"/>
                <w:sz w:val="24"/>
                <w:szCs w:val="24"/>
                <w:highlight w:val="none"/>
                <w:lang w:val="en-US" w:eastAsia="zh-CN" w:bidi="ar"/>
              </w:rPr>
              <w:t>财务报表中实收资本科目列示5000万但无到位证明，数据间勾稽关系存疑。技术负责人本人签字在申报材料及业绩证明材料中笔迹存在差异。业绩“攀枝花市观音岩引水工程第三标段”未提供工程结算单，施工合同中约定的开工时间早于合同签订时间，完工验收鉴定书中的完工时间早于“总体桥面系和附属工程”完工时间。</w:t>
            </w:r>
          </w:p>
        </w:tc>
      </w:tr>
      <w:tr w14:paraId="6E7F6D3A">
        <w:tblPrEx>
          <w:tblCellMar>
            <w:top w:w="0" w:type="dxa"/>
            <w:left w:w="108" w:type="dxa"/>
            <w:bottom w:w="0" w:type="dxa"/>
            <w:right w:w="108" w:type="dxa"/>
          </w:tblCellMar>
        </w:tblPrEx>
        <w:trPr>
          <w:trHeight w:val="2390"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32E60F7B">
            <w:pPr>
              <w:widowControl/>
              <w:numPr>
                <w:ilvl w:val="0"/>
                <w:numId w:val="1"/>
              </w:numPr>
              <w:snapToGrid w:val="0"/>
              <w:ind w:firstLine="0"/>
              <w:jc w:val="center"/>
              <w:textAlignment w:val="center"/>
              <w:rPr>
                <w:rFonts w:hint="eastAsia" w:ascii="仿宋_GB2312" w:hAnsi="仿宋_GB2312" w:eastAsia="仿宋_GB2312" w:cs="仿宋_GB2312"/>
                <w:bCs/>
                <w:color w:val="000000"/>
                <w:sz w:val="24"/>
                <w:szCs w:val="24"/>
                <w:highlight w:val="none"/>
              </w:rPr>
            </w:pP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9F24">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辽宁智铭建筑工程有限公司</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AC6C">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建筑业企业资质认定（水利方面）-增项</w:t>
            </w:r>
          </w:p>
        </w:tc>
        <w:tc>
          <w:tcPr>
            <w:tcW w:w="5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13F0">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bCs w:val="0"/>
                <w:color w:val="000000"/>
                <w:kern w:val="0"/>
                <w:sz w:val="24"/>
                <w:szCs w:val="24"/>
                <w:highlight w:val="none"/>
                <w:lang w:val="en-US" w:eastAsia="zh-CN" w:bidi="ar"/>
              </w:rPr>
              <w:t>不符合资质要求。</w:t>
            </w:r>
          </w:p>
          <w:p w14:paraId="438A5601">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val="0"/>
                <w:bCs/>
                <w:color w:val="000000"/>
                <w:kern w:val="0"/>
                <w:sz w:val="24"/>
                <w:szCs w:val="24"/>
                <w:highlight w:val="none"/>
                <w:lang w:val="en-US" w:eastAsia="zh-CN" w:bidi="ar"/>
              </w:rPr>
              <w:t>未提供当</w:t>
            </w:r>
            <w:bookmarkStart w:id="0" w:name="_GoBack"/>
            <w:bookmarkEnd w:id="0"/>
            <w:r>
              <w:rPr>
                <w:rFonts w:hint="eastAsia" w:ascii="仿宋_GB2312" w:hAnsi="仿宋_GB2312" w:eastAsia="仿宋_GB2312" w:cs="仿宋_GB2312"/>
                <w:b w:val="0"/>
                <w:bCs/>
                <w:color w:val="000000"/>
                <w:kern w:val="0"/>
                <w:sz w:val="24"/>
                <w:szCs w:val="24"/>
                <w:highlight w:val="none"/>
                <w:lang w:val="en-US" w:eastAsia="zh-CN" w:bidi="ar"/>
              </w:rPr>
              <w:t>期全套财务报表，财务报表中利润总额与所得税额明显背离。</w:t>
            </w:r>
          </w:p>
        </w:tc>
      </w:tr>
      <w:tr w14:paraId="62AE3FB2">
        <w:tblPrEx>
          <w:tblCellMar>
            <w:top w:w="0" w:type="dxa"/>
            <w:left w:w="108" w:type="dxa"/>
            <w:bottom w:w="0" w:type="dxa"/>
            <w:right w:w="108" w:type="dxa"/>
          </w:tblCellMar>
        </w:tblPrEx>
        <w:trPr>
          <w:trHeight w:val="3412"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41CE631F">
            <w:pPr>
              <w:widowControl/>
              <w:numPr>
                <w:ilvl w:val="0"/>
                <w:numId w:val="1"/>
              </w:numPr>
              <w:snapToGrid w:val="0"/>
              <w:ind w:firstLine="0"/>
              <w:jc w:val="center"/>
              <w:textAlignment w:val="center"/>
              <w:rPr>
                <w:rFonts w:hint="eastAsia" w:ascii="仿宋_GB2312" w:hAnsi="仿宋_GB2312" w:eastAsia="仿宋_GB2312" w:cs="仿宋_GB2312"/>
                <w:bCs/>
                <w:color w:val="000000"/>
                <w:sz w:val="24"/>
                <w:szCs w:val="24"/>
                <w:highlight w:val="none"/>
              </w:rPr>
            </w:pP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8207">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辽宁江岳建筑工程有限公司</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5549">
            <w:pPr>
              <w:widowControl/>
              <w:snapToGrid w:val="0"/>
              <w:jc w:val="left"/>
              <w:textAlignment w:val="center"/>
              <w:rPr>
                <w:rFonts w:hint="eastAsia" w:ascii="仿宋_GB2312" w:hAnsi="仿宋_GB2312" w:eastAsia="仿宋_GB2312" w:cs="仿宋_GB2312"/>
                <w:bCs/>
                <w:color w:val="000000"/>
                <w:sz w:val="24"/>
                <w:szCs w:val="24"/>
                <w:highlight w:val="none"/>
                <w:lang w:val="en-US" w:eastAsia="zh-CN"/>
              </w:rPr>
            </w:pPr>
            <w:r>
              <w:rPr>
                <w:rFonts w:hint="eastAsia" w:ascii="仿宋_GB2312" w:hAnsi="仿宋_GB2312" w:eastAsia="仿宋_GB2312" w:cs="仿宋_GB2312"/>
                <w:bCs/>
                <w:color w:val="000000"/>
                <w:sz w:val="24"/>
                <w:szCs w:val="24"/>
                <w:highlight w:val="none"/>
                <w:lang w:val="en-US" w:eastAsia="zh-CN"/>
              </w:rPr>
              <w:t>建筑业企业资质认定（水利方面）-设立</w:t>
            </w:r>
          </w:p>
        </w:tc>
        <w:tc>
          <w:tcPr>
            <w:tcW w:w="5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FF90">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bCs w:val="0"/>
                <w:color w:val="000000"/>
                <w:kern w:val="0"/>
                <w:sz w:val="24"/>
                <w:szCs w:val="24"/>
                <w:highlight w:val="none"/>
                <w:lang w:val="en-US" w:eastAsia="zh-CN" w:bidi="ar"/>
              </w:rPr>
              <w:t>不符合资质要求。</w:t>
            </w:r>
          </w:p>
          <w:p w14:paraId="70E283D7">
            <w:pPr>
              <w:widowControl/>
              <w:snapToGrid w:val="0"/>
              <w:jc w:val="left"/>
              <w:textAlignment w:val="center"/>
              <w:rPr>
                <w:rFonts w:hint="eastAsia" w:ascii="仿宋_GB2312" w:hAnsi="仿宋_GB2312" w:eastAsia="仿宋_GB2312" w:cs="仿宋_GB2312"/>
                <w:b/>
                <w:bCs w:val="0"/>
                <w:color w:val="000000"/>
                <w:kern w:val="0"/>
                <w:sz w:val="24"/>
                <w:szCs w:val="24"/>
                <w:highlight w:val="none"/>
                <w:lang w:val="en-US" w:eastAsia="zh-CN" w:bidi="ar"/>
              </w:rPr>
            </w:pPr>
            <w:r>
              <w:rPr>
                <w:rFonts w:hint="eastAsia" w:ascii="仿宋_GB2312" w:hAnsi="仿宋_GB2312" w:eastAsia="仿宋_GB2312" w:cs="仿宋_GB2312"/>
                <w:b w:val="0"/>
                <w:bCs/>
                <w:color w:val="000000"/>
                <w:kern w:val="0"/>
                <w:sz w:val="24"/>
                <w:szCs w:val="24"/>
                <w:highlight w:val="none"/>
                <w:lang w:val="en-US" w:eastAsia="zh-CN" w:bidi="ar"/>
              </w:rPr>
              <w:t>未提供全国人力资源和社会保障政务服务平台查询的企业职工基本养老保险缴费信息截图。业绩均未提供工程结算单。</w:t>
            </w:r>
          </w:p>
        </w:tc>
      </w:tr>
    </w:tbl>
    <w:p w14:paraId="67D7A4E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eastAsia="宋体"/>
          <w:highlight w:val="none"/>
          <w:lang w:eastAsia="zh-CN"/>
        </w:rPr>
      </w:pPr>
    </w:p>
    <w:sectPr>
      <w:headerReference r:id="rId3" w:type="default"/>
      <w:footerReference r:id="rId4" w:type="default"/>
      <w:pgSz w:w="16838" w:h="11906" w:orient="landscape"/>
      <w:pgMar w:top="1746" w:right="1440" w:bottom="1449" w:left="144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公用">
    <w:panose1 w:val="05010101010101010101"/>
    <w:charset w:val="00"/>
    <w:family w:val="auto"/>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FF1A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E8BF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2E8BF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D6E4F">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F16F6"/>
    <w:multiLevelType w:val="singleLevel"/>
    <w:tmpl w:val="FFEF16F6"/>
    <w:lvl w:ilvl="0" w:tentative="0">
      <w:start w:val="1"/>
      <w:numFmt w:val="decimal"/>
      <w:suff w:val="nothing"/>
      <w:lvlText w:val="%1"/>
      <w:lvlJc w:val="left"/>
      <w:pPr>
        <w:ind w:left="0" w:firstLine="397"/>
      </w:pPr>
      <w:rPr>
        <w:rFonts w:hint="default" w:ascii="宋体" w:hAnsi="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3BB4245F"/>
    <w:rsid w:val="0491485F"/>
    <w:rsid w:val="053D0A76"/>
    <w:rsid w:val="0866456F"/>
    <w:rsid w:val="088041A7"/>
    <w:rsid w:val="09425466"/>
    <w:rsid w:val="095A3DD5"/>
    <w:rsid w:val="0DB12A97"/>
    <w:rsid w:val="138400D0"/>
    <w:rsid w:val="13C13A05"/>
    <w:rsid w:val="1424155D"/>
    <w:rsid w:val="198A5F58"/>
    <w:rsid w:val="1AB84528"/>
    <w:rsid w:val="1B6D312C"/>
    <w:rsid w:val="1DD23D69"/>
    <w:rsid w:val="20557125"/>
    <w:rsid w:val="205D356A"/>
    <w:rsid w:val="265B73A3"/>
    <w:rsid w:val="27974E3B"/>
    <w:rsid w:val="29EA10BA"/>
    <w:rsid w:val="2CFD260B"/>
    <w:rsid w:val="2F5A7E09"/>
    <w:rsid w:val="2FE65452"/>
    <w:rsid w:val="32A532E1"/>
    <w:rsid w:val="32EF0C54"/>
    <w:rsid w:val="37232FE7"/>
    <w:rsid w:val="38363CC7"/>
    <w:rsid w:val="3A0E1EEE"/>
    <w:rsid w:val="3A466031"/>
    <w:rsid w:val="3AD41E86"/>
    <w:rsid w:val="3BB4245F"/>
    <w:rsid w:val="3C5D1E68"/>
    <w:rsid w:val="3E99125E"/>
    <w:rsid w:val="41EE728B"/>
    <w:rsid w:val="42634C7B"/>
    <w:rsid w:val="42952BB6"/>
    <w:rsid w:val="46AE67D9"/>
    <w:rsid w:val="472E220B"/>
    <w:rsid w:val="4B382DA5"/>
    <w:rsid w:val="4CE5704F"/>
    <w:rsid w:val="4EB75FC4"/>
    <w:rsid w:val="508F3361"/>
    <w:rsid w:val="51514B70"/>
    <w:rsid w:val="528817F3"/>
    <w:rsid w:val="5475799D"/>
    <w:rsid w:val="550C5665"/>
    <w:rsid w:val="586C3618"/>
    <w:rsid w:val="59CD603E"/>
    <w:rsid w:val="5D2D3F94"/>
    <w:rsid w:val="5FE55272"/>
    <w:rsid w:val="64E70384"/>
    <w:rsid w:val="675549AD"/>
    <w:rsid w:val="689A558F"/>
    <w:rsid w:val="69BC0DBD"/>
    <w:rsid w:val="69F837F2"/>
    <w:rsid w:val="69FF4B1A"/>
    <w:rsid w:val="6D400168"/>
    <w:rsid w:val="6DB76612"/>
    <w:rsid w:val="70D32327"/>
    <w:rsid w:val="73DF8E71"/>
    <w:rsid w:val="741970C2"/>
    <w:rsid w:val="74840B3E"/>
    <w:rsid w:val="767E1CD8"/>
    <w:rsid w:val="76D647F4"/>
    <w:rsid w:val="796020B9"/>
    <w:rsid w:val="79D3193C"/>
    <w:rsid w:val="79F82FE1"/>
    <w:rsid w:val="7BBF98B0"/>
    <w:rsid w:val="7BC8AEF7"/>
    <w:rsid w:val="8BDFC114"/>
    <w:rsid w:val="BFFB9F66"/>
    <w:rsid w:val="DE563EBC"/>
    <w:rsid w:val="FFEE8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b36cd9d0-d82a-447b-b254-f3e83690e2ec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2BD7AE3A</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e25a0f16-76a0-45ca-be87-1e705fb8be06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2BD7AE3A</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68513aa6-a99f-4b83-8d00-9f48f3b15597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70E110E0</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2b97dffd-2b83-4989-8d9e-61e481c8a252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70E110E0</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c143b52a-4209-4330-b7b9-9f8ebd092dbc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48CBDF6C</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b7bba49e-3e23-4728-85f6-c1ec30a41808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48CBDF6C</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5e45d574-aff3-49df-8422-dd6393b3207d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42763317</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4d5a1339-463e-4033-a615-b34e49f1ec8c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42763317</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9f50dc6f-6119-4dc7-86ce-454d9555c508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683749</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a09a40cc-bcad-4bd9-bc3a-1435b42b586a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683749</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45025cc0-bf6b-4a0b-92d0-2049db3a127e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3220EAC5</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77fc61ab-be67-4119-867c-b8ed456db1d7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3220EAC5</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071fb626-ae5e-42b8-bed2-f9099e8e0908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4F2B22B5</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e510c8b3-4a4b-4d8f-86e1-fd7a74a51111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4F2B22B5</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ac45f0bc-04cf-4955-8129-3655a9307b6e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148FD62</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3cb1e2b3-bd83-4529-ad5b-6ca530a51866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148FD62</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057c538f-d417-4f5e-84a8-2f6b1172916d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38D45A79</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1363bad1-8d7d-40e2-84d5-7d2d29d3a695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38D45A79</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860e88bf-b16f-423b-89e9-b167819c627d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A8D62B8</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a337dc4e-3662-423c-af9f-8719387ba2e0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A8D62B8</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dbb7e457-9355-40ce-ac08-9f64da5597d8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1F373233</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95a00dd8-5dc9-4e5c-8c6a-39fcdab9dcdc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1F373233</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de5e4052-30a7-4845-b039-11efc940b63a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21B63F79</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962d8f7f-f4d4-4291-8839-1bad0dfc9d56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21B63F79</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be6767d2-ea30-447f-808d-c76868f78773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128F6040</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39e06435-78ea-4b49-853e-3ef24c521006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128F6040</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451198e7-277c-42b0-8f33-1bdc959cf497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7EC3D387</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d41549b7-1ba6-48dd-8395-b750f0a32ca0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7EC3D387</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d660ff96-659c-4fc5-96f3-ec3d08e13f18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2178C439</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66cb5647-c539-4a32-be97-6af6803018cb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2178C439</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12c52a8e-e837-4bb2-97c0-501692632e24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4348D3AB</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18767c04-19d7-4159-9fb9-b6e0879a5b83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4348D3AB</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9cc8708f-ae91-40f5-ba22-7dbc6b429dc4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6423587F</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621492e3-caa9-4f31-8d18-06d186c3eb67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6423587F</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4e8f9572-c7ce-482a-b901-227bd66e5aa5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1D80DBD0</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ca2a504b-9c78-45c6-9d73-b6885a2fc457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1D80DBD0</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349a60-3dd6-4212-bf60-b28d6387fedd}">
  <ds:schemaRefs/>
</ds:datastoreItem>
</file>

<file path=docProps/app.xml><?xml version="1.0" encoding="utf-8"?>
<Properties xmlns="http://schemas.openxmlformats.org/officeDocument/2006/extended-properties" xmlns:vt="http://schemas.openxmlformats.org/officeDocument/2006/docPropsVTypes">
  <Template>Normal.dotm</Template>
  <Pages>3</Pages>
  <Words>582</Words>
  <Characters>585</Characters>
  <Lines>0</Lines>
  <Paragraphs>0</Paragraphs>
  <TotalTime>8</TotalTime>
  <ScaleCrop>false</ScaleCrop>
  <LinksUpToDate>false</LinksUpToDate>
  <CharactersWithSpaces>585</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2023-07-23T06:26:00Z</dcterms:created>
  <dc:creator>Administrator</dc:creator>
  <cp:lastModifiedBy>zzx</cp:lastModifiedBy>
  <cp:lastPrinted>2026-10-19T10:11:39Z</cp:lastPrinted>
  <dcterms:modified xsi:type="dcterms:W3CDTF">2026-10-19T11:20:05Z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C16D8989E17254FEC5265F6A1AE0EC30_43</vt:lpwstr>
  </property>
  <property fmtid="{D5CDD505-2E9C-101B-9397-08002B2CF9AE}" pid="4" name="KSOTemplateDocerSaveRecord">
    <vt:lpwstr>eyJoZGlkIjoiMzEwNTM5NzYwMDRjMzkwZTVkZjY2ODkwMGIxNGU0OTUiLCJ1c2VySWQiOiI2MDQ3ODE5NTIifQ==</vt:lpwstr>
  </property>
</Properties>
</file>