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小标宋简体"/>
          <w:szCs w:val="44"/>
        </w:rPr>
      </w:pPr>
    </w:p>
    <w:p>
      <w:pPr>
        <w:jc w:val="center"/>
        <w:rPr>
          <w:rFonts w:eastAsia="方正小标宋简体"/>
          <w:szCs w:val="44"/>
        </w:rPr>
      </w:pPr>
    </w:p>
    <w:p>
      <w:pPr>
        <w:jc w:val="center"/>
        <w:rPr>
          <w:rFonts w:eastAsia="方正小标宋简体"/>
          <w:szCs w:val="44"/>
        </w:rPr>
      </w:pPr>
    </w:p>
    <w:p>
      <w:pPr>
        <w:jc w:val="center"/>
        <w:rPr>
          <w:rFonts w:eastAsia="方正小标宋简体"/>
          <w:szCs w:val="44"/>
        </w:rPr>
      </w:pPr>
    </w:p>
    <w:p>
      <w:pPr>
        <w:jc w:val="center"/>
        <w:rPr>
          <w:rFonts w:eastAsia="方正小标宋简体"/>
          <w:szCs w:val="44"/>
        </w:rPr>
      </w:pPr>
    </w:p>
    <w:p>
      <w:pPr>
        <w:spacing w:after="0" w:line="560" w:lineRule="exact"/>
        <w:jc w:val="center"/>
        <w:rPr>
          <w:rFonts w:hint="eastAsia" w:ascii="Times New Roman" w:hAnsi="Times New Roman" w:eastAsia="方正小标宋简体" w:cs="Times New Roman"/>
          <w:color w:val="000000"/>
          <w:kern w:val="0"/>
          <w:sz w:val="44"/>
          <w:szCs w:val="44"/>
          <w:lang w:val="en-US" w:eastAsia="zh-CN" w:bidi="ar-SA"/>
          <w14:ligatures w14:val="none"/>
        </w:rPr>
      </w:pPr>
    </w:p>
    <w:p>
      <w:pPr>
        <w:spacing w:after="0" w:line="560" w:lineRule="exact"/>
        <w:jc w:val="center"/>
        <w:rPr>
          <w:rFonts w:hint="eastAsia" w:ascii="方正小标宋简体" w:hAnsi="方正小标宋简体" w:eastAsia="方正小标宋简体" w:cs="方正小标宋简体"/>
          <w:color w:val="000000"/>
          <w:kern w:val="0"/>
          <w:sz w:val="44"/>
          <w:szCs w:val="44"/>
          <w:lang w:val="en-US" w:eastAsia="zh-CN" w:bidi="ar-SA"/>
          <w14:ligatures w14:val="none"/>
        </w:rPr>
      </w:pPr>
      <w:bookmarkStart w:id="0" w:name="OLE_LINK1"/>
      <w:r>
        <w:rPr>
          <w:rFonts w:hint="eastAsia" w:ascii="方正小标宋简体" w:hAnsi="方正小标宋简体" w:eastAsia="方正小标宋简体" w:cs="方正小标宋简体"/>
          <w:color w:val="000000"/>
          <w:kern w:val="0"/>
          <w:sz w:val="44"/>
          <w:szCs w:val="44"/>
          <w:lang w:val="en-US" w:eastAsia="zh-CN" w:bidi="ar-SA"/>
          <w14:ligatures w14:val="none"/>
        </w:rPr>
        <w:t>2026年度全省房屋建筑和市政工程领域</w:t>
      </w:r>
    </w:p>
    <w:p>
      <w:pPr>
        <w:spacing w:after="0" w:line="560" w:lineRule="exact"/>
        <w:jc w:val="center"/>
        <w:rPr>
          <w:rFonts w:hint="eastAsia" w:ascii="方正小标宋简体" w:hAnsi="方正小标宋简体" w:eastAsia="方正小标宋简体" w:cs="方正小标宋简体"/>
          <w:color w:val="000000"/>
          <w:kern w:val="0"/>
          <w:sz w:val="44"/>
          <w:szCs w:val="44"/>
          <w:lang w:val="en-US" w:eastAsia="zh-CN" w:bidi="ar-SA"/>
          <w14:ligatures w14:val="none"/>
        </w:rPr>
      </w:pPr>
      <w:r>
        <w:rPr>
          <w:rFonts w:hint="eastAsia" w:ascii="方正小标宋简体" w:hAnsi="方正小标宋简体" w:eastAsia="方正小标宋简体" w:cs="方正小标宋简体"/>
          <w:color w:val="000000"/>
          <w:kern w:val="0"/>
          <w:sz w:val="44"/>
          <w:szCs w:val="44"/>
          <w:lang w:val="en-US" w:eastAsia="zh-CN" w:bidi="ar-SA"/>
          <w14:ligatures w14:val="none"/>
        </w:rPr>
        <w:t>建筑市场及</w:t>
      </w:r>
      <w:bookmarkStart w:id="6" w:name="_GoBack"/>
      <w:bookmarkEnd w:id="6"/>
      <w:r>
        <w:rPr>
          <w:rFonts w:hint="eastAsia" w:ascii="方正小标宋简体" w:hAnsi="方正小标宋简体" w:eastAsia="方正小标宋简体" w:cs="方正小标宋简体"/>
          <w:color w:val="000000"/>
          <w:kern w:val="0"/>
          <w:sz w:val="44"/>
          <w:szCs w:val="44"/>
          <w:lang w:val="en-US" w:eastAsia="zh-CN" w:bidi="ar-SA"/>
          <w14:ligatures w14:val="none"/>
        </w:rPr>
        <w:t>招标投标违法违规案例</w:t>
      </w:r>
    </w:p>
    <w:p>
      <w:pPr>
        <w:spacing w:after="0" w:line="560" w:lineRule="exact"/>
        <w:jc w:val="center"/>
        <w:rPr>
          <w:rFonts w:hint="eastAsia" w:ascii="方正小标宋简体" w:hAnsi="方正小标宋简体" w:eastAsia="方正小标宋简体" w:cs="方正小标宋简体"/>
          <w:color w:val="000000"/>
          <w:kern w:val="0"/>
          <w:sz w:val="44"/>
          <w:szCs w:val="44"/>
          <w:lang w:val="en-US" w:eastAsia="zh-CN" w:bidi="ar-SA"/>
          <w14:ligatures w14:val="none"/>
        </w:rPr>
      </w:pPr>
    </w:p>
    <w:p>
      <w:pPr>
        <w:spacing w:after="0" w:line="560" w:lineRule="exact"/>
        <w:jc w:val="center"/>
        <w:rPr>
          <w:rFonts w:hint="eastAsia" w:ascii="方正小标宋简体" w:hAnsi="方正小标宋简体" w:eastAsia="方正小标宋简体" w:cs="方正小标宋简体"/>
          <w:color w:val="000000"/>
          <w:kern w:val="0"/>
          <w:sz w:val="44"/>
          <w:szCs w:val="44"/>
          <w:lang w:val="en-US" w:eastAsia="zh-CN" w:bidi="ar-SA"/>
          <w14:ligatures w14:val="none"/>
        </w:rPr>
      </w:pPr>
      <w:r>
        <w:rPr>
          <w:rFonts w:hint="eastAsia" w:ascii="方正小标宋简体" w:hAnsi="方正小标宋简体" w:eastAsia="方正小标宋简体" w:cs="方正小标宋简体"/>
          <w:color w:val="000000"/>
          <w:kern w:val="0"/>
          <w:sz w:val="44"/>
          <w:szCs w:val="44"/>
          <w:lang w:val="en-US" w:eastAsia="zh-CN" w:bidi="ar-SA"/>
          <w14:ligatures w14:val="none"/>
        </w:rPr>
        <w:t>（第三批）</w:t>
      </w:r>
    </w:p>
    <w:bookmarkEnd w:id="0"/>
    <w:p>
      <w:pPr>
        <w:spacing w:after="0" w:line="560" w:lineRule="exact"/>
        <w:jc w:val="center"/>
        <w:rPr>
          <w:rFonts w:hint="eastAsia" w:ascii="方正小标宋简体" w:hAnsi="方正小标宋简体" w:eastAsia="方正小标宋简体" w:cs="方正小标宋简体"/>
          <w:color w:val="000000"/>
          <w:kern w:val="0"/>
          <w:sz w:val="44"/>
          <w:szCs w:val="44"/>
          <w:lang w:val="en-US" w:eastAsia="zh-CN" w:bidi="ar-SA"/>
          <w14:ligatures w14:val="none"/>
        </w:rPr>
        <w:sectPr>
          <w:pgSz w:w="11905" w:h="16840"/>
          <w:pgMar w:top="1440" w:right="1800" w:bottom="1440" w:left="1800" w:header="720" w:footer="720" w:gutter="0"/>
          <w:pgNumType w:fmt="numberInDash" w:start="0"/>
          <w:cols w:space="720" w:num="1"/>
        </w:sectPr>
      </w:pPr>
    </w:p>
    <w:p>
      <w:pPr>
        <w:spacing w:line="560" w:lineRule="exact"/>
        <w:jc w:val="center"/>
        <w:rPr>
          <w:rFonts w:eastAsia="方正小标宋简体"/>
          <w:sz w:val="44"/>
          <w:szCs w:val="44"/>
        </w:rPr>
      </w:pPr>
      <w:r>
        <w:rPr>
          <w:rFonts w:hint="eastAsia" w:eastAsia="方正小标宋简体"/>
          <w:sz w:val="44"/>
          <w:szCs w:val="44"/>
        </w:rPr>
        <w:t>案例一：朝阳市老旧小区水表出户改造工程</w:t>
      </w:r>
    </w:p>
    <w:p>
      <w:pPr>
        <w:spacing w:line="560" w:lineRule="exact"/>
        <w:jc w:val="center"/>
        <w:rPr>
          <w:rFonts w:hint="eastAsia" w:eastAsia="方正小标宋简体"/>
          <w:sz w:val="44"/>
          <w:szCs w:val="44"/>
        </w:rPr>
      </w:pPr>
      <w:r>
        <w:rPr>
          <w:rFonts w:hint="eastAsia" w:eastAsia="方正小标宋简体"/>
          <w:sz w:val="44"/>
          <w:szCs w:val="44"/>
        </w:rPr>
        <w:t>招标投标活动中涉嫌串通投标</w:t>
      </w:r>
    </w:p>
    <w:p>
      <w:pPr>
        <w:spacing w:line="560" w:lineRule="exact"/>
        <w:ind w:firstLine="632" w:firstLineChars="200"/>
        <w:jc w:val="left"/>
        <w:rPr>
          <w:szCs w:val="32"/>
        </w:rPr>
      </w:pPr>
    </w:p>
    <w:p>
      <w:pPr>
        <w:spacing w:line="560" w:lineRule="exact"/>
        <w:ind w:firstLine="632" w:firstLineChars="200"/>
        <w:jc w:val="left"/>
        <w:rPr>
          <w:rFonts w:hint="eastAsia" w:eastAsia="黑体"/>
          <w:szCs w:val="32"/>
        </w:rPr>
      </w:pPr>
      <w:r>
        <w:rPr>
          <w:rFonts w:hint="eastAsia" w:eastAsia="黑体"/>
          <w:szCs w:val="32"/>
        </w:rPr>
        <w:t>一、基本情况</w:t>
      </w:r>
    </w:p>
    <w:p>
      <w:pPr>
        <w:spacing w:line="560" w:lineRule="exact"/>
        <w:ind w:firstLine="632" w:firstLineChars="200"/>
        <w:jc w:val="left"/>
        <w:rPr>
          <w:rFonts w:hint="eastAsia"/>
          <w:szCs w:val="32"/>
        </w:rPr>
      </w:pPr>
      <w:r>
        <w:rPr>
          <w:rFonts w:hint="eastAsia"/>
          <w:szCs w:val="32"/>
        </w:rPr>
        <w:t>2026年2月26日，在朝阳市老旧小区水表出户改造工程评标结束后，在辽宁建设工程信息网投标行为雷同分析结果发现，A公司与B公司特征码、MAC地址、IP地址一致，根据《中华人民共和国招标投标法实施条例》第四十条第二款，存在相互串通投标的嫌疑。</w:t>
      </w:r>
    </w:p>
    <w:p>
      <w:pPr>
        <w:spacing w:line="560" w:lineRule="exact"/>
        <w:ind w:firstLine="632" w:firstLineChars="200"/>
        <w:jc w:val="left"/>
        <w:rPr>
          <w:rFonts w:hint="eastAsia" w:eastAsia="黑体"/>
          <w:szCs w:val="32"/>
        </w:rPr>
      </w:pPr>
      <w:r>
        <w:rPr>
          <w:rFonts w:hint="eastAsia" w:eastAsia="黑体"/>
          <w:szCs w:val="32"/>
        </w:rPr>
        <w:t>二、查处过程</w:t>
      </w:r>
    </w:p>
    <w:p>
      <w:pPr>
        <w:spacing w:line="560" w:lineRule="exact"/>
        <w:ind w:firstLine="632" w:firstLineChars="200"/>
        <w:jc w:val="left"/>
        <w:rPr>
          <w:rFonts w:hint="eastAsia"/>
          <w:szCs w:val="32"/>
        </w:rPr>
      </w:pPr>
      <w:r>
        <w:rPr>
          <w:rFonts w:hint="eastAsia"/>
          <w:szCs w:val="32"/>
        </w:rPr>
        <w:t>2026年3月2日朝阳市属地住建局对A公司与B公司在朝阳市老旧小区水表出户改造工程招标投标活动中涉嫌串通投标立案调查。通过对A公司及B公司法人授权委托人的询问调查，辽宁建设工程信息网投标行为雷同分析结果等证据，认定A公司与B公司存在串通投标行为。</w:t>
      </w:r>
    </w:p>
    <w:p>
      <w:pPr>
        <w:spacing w:line="560" w:lineRule="exact"/>
        <w:ind w:firstLine="632" w:firstLineChars="200"/>
        <w:jc w:val="left"/>
        <w:rPr>
          <w:rFonts w:hint="eastAsia" w:eastAsia="黑体"/>
          <w:szCs w:val="32"/>
        </w:rPr>
      </w:pPr>
      <w:r>
        <w:rPr>
          <w:rFonts w:hint="eastAsia" w:eastAsia="黑体"/>
          <w:szCs w:val="32"/>
        </w:rPr>
        <w:t>三、处理结果</w:t>
      </w:r>
    </w:p>
    <w:p>
      <w:pPr>
        <w:spacing w:line="560" w:lineRule="exact"/>
        <w:ind w:firstLine="632" w:firstLineChars="200"/>
        <w:jc w:val="left"/>
        <w:rPr>
          <w:rFonts w:hint="eastAsia"/>
          <w:szCs w:val="32"/>
        </w:rPr>
      </w:pPr>
      <w:r>
        <w:rPr>
          <w:rFonts w:hint="eastAsia"/>
          <w:szCs w:val="32"/>
        </w:rPr>
        <w:t>依据《中华人民共和国招标投标法》第五十三条、《辽宁省住房和城乡建设系统行政处罚裁量权基准（2024版）》第五条从轻情节对投标人处中标项目金额千分之五以上千分之六以下的罚款，对单位直接负责的主管人员和其他直接责任人员处单位罚款数额百分之五以上百分之六以下的罚款；有违法所得的，并处没收违法所得之规定，对A公司及B公司共处罚金12.57万元。</w:t>
      </w:r>
    </w:p>
    <w:p>
      <w:pPr>
        <w:spacing w:line="560" w:lineRule="exact"/>
        <w:ind w:firstLine="632" w:firstLineChars="200"/>
        <w:jc w:val="left"/>
        <w:rPr>
          <w:rFonts w:hint="eastAsia" w:eastAsia="黑体"/>
          <w:szCs w:val="32"/>
        </w:rPr>
      </w:pPr>
      <w:r>
        <w:rPr>
          <w:rFonts w:hint="eastAsia" w:eastAsia="黑体"/>
          <w:szCs w:val="32"/>
        </w:rPr>
        <w:t>四、问题梳理分析情况及警示意义</w:t>
      </w:r>
    </w:p>
    <w:p>
      <w:pPr>
        <w:spacing w:line="560" w:lineRule="exact"/>
        <w:ind w:firstLine="632" w:firstLineChars="200"/>
        <w:jc w:val="left"/>
        <w:rPr>
          <w:rFonts w:hint="eastAsia"/>
          <w:szCs w:val="32"/>
        </w:rPr>
      </w:pPr>
      <w:r>
        <w:rPr>
          <w:rFonts w:hint="eastAsia"/>
          <w:szCs w:val="32"/>
        </w:rPr>
        <w:t>此案警示市场主体必须坚守合规底线、完善内控机制，从业人员须恪守职业道德、拒绝参与任何形式的串标行为，监管部门则应强化技术预警、加强联合执法、提高违法成本，切实维护招投标市场的公平竞争秩序。</w:t>
      </w:r>
    </w:p>
    <w:p>
      <w:pPr>
        <w:spacing w:line="560" w:lineRule="exact"/>
        <w:jc w:val="center"/>
        <w:rPr>
          <w:rFonts w:hint="eastAsia" w:ascii="方正小标宋简体" w:hAnsi="方正小标宋简体" w:eastAsia="方正小标宋简体" w:cs="方正小标宋简体"/>
          <w:sz w:val="44"/>
          <w:szCs w:val="44"/>
        </w:rPr>
      </w:pPr>
      <w:r>
        <w:rPr>
          <w:rFonts w:hint="eastAsia"/>
          <w:szCs w:val="32"/>
        </w:rPr>
        <w:br w:type="page"/>
      </w:r>
      <w:r>
        <w:rPr>
          <w:rFonts w:hint="eastAsia" w:ascii="方正小标宋简体" w:hAnsi="方正小标宋简体" w:eastAsia="方正小标宋简体" w:cs="方正小标宋简体"/>
          <w:sz w:val="44"/>
          <w:szCs w:val="44"/>
        </w:rPr>
        <w:t>案例二：A公司与B公司串通投标典型</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违法案例</w:t>
      </w:r>
    </w:p>
    <w:p>
      <w:pPr>
        <w:spacing w:line="560" w:lineRule="exact"/>
        <w:ind w:firstLine="632" w:firstLineChars="200"/>
        <w:jc w:val="left"/>
        <w:rPr>
          <w:szCs w:val="32"/>
        </w:rPr>
      </w:pPr>
    </w:p>
    <w:p>
      <w:pPr>
        <w:spacing w:line="560" w:lineRule="exact"/>
        <w:ind w:firstLine="632" w:firstLineChars="200"/>
        <w:jc w:val="left"/>
        <w:rPr>
          <w:rFonts w:hint="eastAsia" w:eastAsia="黑体"/>
          <w:szCs w:val="32"/>
        </w:rPr>
      </w:pPr>
      <w:r>
        <w:rPr>
          <w:rFonts w:hint="eastAsia" w:eastAsia="黑体"/>
          <w:szCs w:val="32"/>
        </w:rPr>
        <w:t>一、基本情况</w:t>
      </w:r>
    </w:p>
    <w:p>
      <w:pPr>
        <w:spacing w:line="560" w:lineRule="exact"/>
        <w:ind w:firstLine="632" w:firstLineChars="200"/>
        <w:jc w:val="left"/>
        <w:rPr>
          <w:rFonts w:hint="eastAsia"/>
          <w:szCs w:val="32"/>
        </w:rPr>
      </w:pPr>
      <w:r>
        <w:rPr>
          <w:rFonts w:hint="eastAsia"/>
          <w:szCs w:val="32"/>
        </w:rPr>
        <w:t>抚顺某经济开发区新材料产业园区基础设施建设项目招标投标活动中，A公司与B公司使用读卡器模块号一致，构成串通投标客观事实。</w:t>
      </w:r>
    </w:p>
    <w:p>
      <w:pPr>
        <w:spacing w:line="560" w:lineRule="exact"/>
        <w:ind w:firstLine="632" w:firstLineChars="200"/>
        <w:jc w:val="left"/>
        <w:rPr>
          <w:rFonts w:hint="eastAsia" w:eastAsia="黑体"/>
          <w:szCs w:val="32"/>
        </w:rPr>
      </w:pPr>
      <w:r>
        <w:rPr>
          <w:rFonts w:hint="eastAsia" w:eastAsia="黑体"/>
          <w:szCs w:val="32"/>
        </w:rPr>
        <w:t>二、查处过程</w:t>
      </w:r>
    </w:p>
    <w:p>
      <w:pPr>
        <w:spacing w:line="560" w:lineRule="exact"/>
        <w:ind w:firstLine="632" w:firstLineChars="200"/>
        <w:jc w:val="left"/>
        <w:rPr>
          <w:rFonts w:hint="eastAsia"/>
          <w:szCs w:val="32"/>
        </w:rPr>
      </w:pPr>
      <w:r>
        <w:rPr>
          <w:rFonts w:hint="eastAsia"/>
          <w:szCs w:val="32"/>
        </w:rPr>
        <w:t>2025年11月，招投标监督系统预警平台显示涉案项目中两家公司在多个操作环节的读卡器模块号雷同，抚顺市住建局发现问题线索后向项目属地监管部门住建局进行移交。属地住建局依法立案，调取设备序列号等数字信息，固定关键证据，认定该行为符合《</w:t>
      </w:r>
      <w:r>
        <w:rPr>
          <w:szCs w:val="32"/>
        </w:rPr>
        <w:t>中华人民共和国招标投标法实施条例</w:t>
      </w:r>
      <w:r>
        <w:rPr>
          <w:rFonts w:hint="eastAsia"/>
          <w:szCs w:val="32"/>
        </w:rPr>
        <w:t>》第四十条“不同投标人委托同一单位或个人办理投标事宜”的视同串标情形。</w:t>
      </w:r>
    </w:p>
    <w:p>
      <w:pPr>
        <w:spacing w:line="560" w:lineRule="exact"/>
        <w:ind w:firstLine="632" w:firstLineChars="200"/>
        <w:jc w:val="left"/>
        <w:rPr>
          <w:rFonts w:hint="eastAsia" w:eastAsia="黑体"/>
          <w:szCs w:val="32"/>
        </w:rPr>
      </w:pPr>
      <w:r>
        <w:rPr>
          <w:rFonts w:hint="eastAsia" w:eastAsia="黑体"/>
          <w:szCs w:val="32"/>
        </w:rPr>
        <w:t>三、处理结果</w:t>
      </w:r>
    </w:p>
    <w:p>
      <w:pPr>
        <w:spacing w:line="560" w:lineRule="exact"/>
        <w:ind w:firstLine="632" w:firstLineChars="200"/>
        <w:jc w:val="left"/>
        <w:rPr>
          <w:rFonts w:hint="eastAsia"/>
          <w:szCs w:val="32"/>
        </w:rPr>
      </w:pPr>
      <w:r>
        <w:rPr>
          <w:rFonts w:hint="eastAsia"/>
          <w:szCs w:val="32"/>
        </w:rPr>
        <w:t>属地住建局认定两家公司构成相互串通投标，依据《中华人民共和国招标投标法》第五十三条，于2026年对涉案单位及相关责任人合计罚款0.17万元。</w:t>
      </w:r>
    </w:p>
    <w:p>
      <w:pPr>
        <w:spacing w:line="560" w:lineRule="exact"/>
        <w:ind w:firstLine="632" w:firstLineChars="200"/>
        <w:jc w:val="left"/>
        <w:rPr>
          <w:rFonts w:hint="eastAsia" w:eastAsia="黑体"/>
          <w:szCs w:val="32"/>
        </w:rPr>
      </w:pPr>
      <w:r>
        <w:rPr>
          <w:rFonts w:hint="eastAsia" w:eastAsia="黑体"/>
          <w:szCs w:val="32"/>
        </w:rPr>
        <w:t>四、问题分析与警示意义</w:t>
      </w:r>
    </w:p>
    <w:p>
      <w:pPr>
        <w:spacing w:line="560" w:lineRule="exact"/>
        <w:ind w:firstLine="632" w:firstLineChars="200"/>
        <w:jc w:val="left"/>
        <w:rPr>
          <w:szCs w:val="32"/>
        </w:rPr>
      </w:pPr>
      <w:r>
        <w:rPr>
          <w:rFonts w:hint="eastAsia"/>
          <w:szCs w:val="32"/>
        </w:rPr>
        <w:t>本案的警示意义在于，监管部门必须深刻认识到技术手段在招投标监管中的关键作用。随着电子招投标技术与制度的不断深化，“不见面开标”“电子保函”等模式全面推行，招标投标领域违法违规行为呈现出更趋隐蔽化的特征，传统人工核验、现场巡查等方式面临发现难、取证难、认定难等现实困境。行业监管部门需认识到“技防”与“人防”相结合是新形势下提升监管效能的必然路径，运用好监管平台预警信息的同时要善于使用“投标行为雷同性分析”“投标人共同性分析”“系统工具分析”等功能进一步提升监管效能。</w:t>
      </w:r>
    </w:p>
    <w:p>
      <w:pPr>
        <w:widowControl/>
        <w:jc w:val="left"/>
        <w:rPr>
          <w:szCs w:val="32"/>
        </w:rPr>
      </w:pPr>
    </w:p>
    <w:p>
      <w:pPr>
        <w:spacing w:line="560" w:lineRule="exact"/>
        <w:jc w:val="center"/>
        <w:rPr>
          <w:rFonts w:hint="eastAsia" w:ascii="方正小标宋简体" w:hAnsi="方正小标宋简体" w:eastAsia="方正小标宋简体" w:cs="方正小标宋简体"/>
          <w:b w:val="0"/>
          <w:bCs w:val="0"/>
          <w:sz w:val="44"/>
          <w:szCs w:val="44"/>
        </w:rPr>
      </w:pPr>
      <w:r>
        <w:rPr>
          <w:rFonts w:hint="eastAsia"/>
          <w:szCs w:val="32"/>
        </w:rPr>
        <w:br w:type="page"/>
      </w:r>
      <w:r>
        <w:rPr>
          <w:rFonts w:hint="eastAsia" w:ascii="方正小标宋简体" w:hAnsi="方正小标宋简体" w:eastAsia="方正小标宋简体" w:cs="方正小标宋简体"/>
          <w:b w:val="0"/>
          <w:bCs w:val="0"/>
          <w:sz w:val="44"/>
          <w:szCs w:val="44"/>
        </w:rPr>
        <w:t>案例三：A公司、B公司围标串标案</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典型违法案例</w:t>
      </w:r>
    </w:p>
    <w:p>
      <w:pPr>
        <w:spacing w:line="560" w:lineRule="exact"/>
        <w:ind w:firstLine="632" w:firstLineChars="200"/>
        <w:jc w:val="left"/>
        <w:rPr>
          <w:szCs w:val="32"/>
        </w:rPr>
      </w:pPr>
    </w:p>
    <w:p>
      <w:pPr>
        <w:spacing w:line="560" w:lineRule="exact"/>
        <w:ind w:firstLine="632" w:firstLineChars="200"/>
        <w:jc w:val="left"/>
        <w:rPr>
          <w:rFonts w:hint="eastAsia" w:eastAsia="黑体"/>
          <w:szCs w:val="32"/>
        </w:rPr>
      </w:pPr>
      <w:r>
        <w:rPr>
          <w:rFonts w:hint="eastAsia" w:eastAsia="黑体"/>
          <w:szCs w:val="32"/>
        </w:rPr>
        <w:t>一、基本情况</w:t>
      </w:r>
    </w:p>
    <w:p>
      <w:pPr>
        <w:spacing w:line="560" w:lineRule="exact"/>
        <w:ind w:firstLine="632" w:firstLineChars="200"/>
        <w:jc w:val="left"/>
        <w:rPr>
          <w:rFonts w:hint="eastAsia"/>
          <w:szCs w:val="32"/>
        </w:rPr>
      </w:pPr>
      <w:r>
        <w:rPr>
          <w:rFonts w:hint="eastAsia"/>
          <w:szCs w:val="32"/>
        </w:rPr>
        <w:t>在营口市主城区燃气及配套管网改造工程供水管网改造工程项目检查中，发现2家投标单位A公司、B公司存在使用相同读卡器的问题，涉嫌投标人相互串通投标。</w:t>
      </w:r>
    </w:p>
    <w:p>
      <w:pPr>
        <w:spacing w:line="560" w:lineRule="exact"/>
        <w:ind w:firstLine="632" w:firstLineChars="200"/>
        <w:jc w:val="left"/>
        <w:rPr>
          <w:rFonts w:hint="eastAsia" w:eastAsia="黑体"/>
          <w:szCs w:val="32"/>
        </w:rPr>
      </w:pPr>
      <w:r>
        <w:rPr>
          <w:rFonts w:hint="eastAsia" w:eastAsia="黑体"/>
          <w:szCs w:val="32"/>
        </w:rPr>
        <w:t>二、查处过程</w:t>
      </w:r>
    </w:p>
    <w:p>
      <w:pPr>
        <w:spacing w:line="560" w:lineRule="exact"/>
        <w:ind w:firstLine="632" w:firstLineChars="200"/>
        <w:jc w:val="left"/>
        <w:rPr>
          <w:rFonts w:hint="eastAsia"/>
          <w:szCs w:val="32"/>
        </w:rPr>
      </w:pPr>
      <w:r>
        <w:rPr>
          <w:rFonts w:hint="eastAsia"/>
          <w:szCs w:val="32"/>
        </w:rPr>
        <w:t>监督人员发现后，依据职责划分，2025年1月2日将案件线索移送至营口市城市管理综合行政执法局，经执法部门依法查证，不同投标人“使用相同读卡器”即表明其行为符合《中华人民共和国招标投标法实施条例》第四十条第（二）项“不同投标人委托同一单位或者个人办理投标事宜”的情形，视为投标人相互串通投标。</w:t>
      </w:r>
    </w:p>
    <w:p>
      <w:pPr>
        <w:spacing w:line="560" w:lineRule="exact"/>
        <w:ind w:firstLine="632" w:firstLineChars="200"/>
        <w:jc w:val="left"/>
        <w:rPr>
          <w:rFonts w:hint="eastAsia" w:eastAsia="黑体"/>
          <w:szCs w:val="32"/>
        </w:rPr>
      </w:pPr>
      <w:r>
        <w:rPr>
          <w:rFonts w:hint="eastAsia" w:eastAsia="黑体"/>
          <w:szCs w:val="32"/>
        </w:rPr>
        <w:t>三、处理结果</w:t>
      </w:r>
    </w:p>
    <w:p>
      <w:pPr>
        <w:spacing w:line="560" w:lineRule="exact"/>
        <w:ind w:firstLine="632" w:firstLineChars="200"/>
        <w:rPr>
          <w:rFonts w:hint="eastAsia"/>
          <w:szCs w:val="32"/>
        </w:rPr>
      </w:pPr>
      <w:r>
        <w:rPr>
          <w:rFonts w:hint="eastAsia"/>
          <w:szCs w:val="32"/>
        </w:rPr>
        <w:t>依据《中华人民共和国招标投标法》第五十三条“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对两家单位及主管人员共处罚约21.07万元。</w:t>
      </w:r>
    </w:p>
    <w:p>
      <w:pPr>
        <w:spacing w:line="560" w:lineRule="exact"/>
        <w:ind w:firstLine="632" w:firstLineChars="200"/>
        <w:rPr>
          <w:rFonts w:hint="eastAsia" w:eastAsia="黑体"/>
          <w:szCs w:val="32"/>
        </w:rPr>
      </w:pPr>
      <w:r>
        <w:rPr>
          <w:rFonts w:hint="eastAsia" w:eastAsia="黑体"/>
          <w:szCs w:val="32"/>
        </w:rPr>
        <w:t>四、问题梳理分析情况及警示意义</w:t>
      </w:r>
    </w:p>
    <w:p>
      <w:pPr>
        <w:spacing w:line="560" w:lineRule="exact"/>
        <w:ind w:firstLine="632" w:firstLineChars="200"/>
        <w:rPr>
          <w:rFonts w:hint="eastAsia"/>
          <w:szCs w:val="32"/>
        </w:rPr>
      </w:pPr>
      <w:r>
        <w:rPr>
          <w:rFonts w:hint="eastAsia"/>
          <w:szCs w:val="32"/>
        </w:rPr>
        <w:t>本次涉案的两家施工企业，在本次供水管网改造项目投标过程中，出现投标硬件设备信息高度重合情形，反映出部分本地工程施工企业存在经营关联、业务混同、人员交叉协作的行业乱象，严重破坏工程建设领域公平竞争的市场秩序。</w:t>
      </w:r>
    </w:p>
    <w:p>
      <w:pPr>
        <w:spacing w:line="560" w:lineRule="exact"/>
        <w:ind w:firstLine="632" w:firstLineChars="200"/>
        <w:rPr>
          <w:rFonts w:hint="eastAsia"/>
          <w:szCs w:val="32"/>
        </w:rPr>
      </w:pPr>
      <w:r>
        <w:rPr>
          <w:rFonts w:hint="eastAsia"/>
          <w:szCs w:val="32"/>
        </w:rPr>
        <w:t>本案属于典型的电子招投标时代设备指纹类串通投标行为，隐蔽性强、行业多发、辨识度高。两家不同投标单位使用同一读卡器完成投标文件编制、加密或上传操作，属于电子招投标监管明确的异常硬件同源特征，依法认定为不同投标人委托同一单位或个人办理投标事宜。涉案企业法治意识淡薄、内控管理制度缺失，对投标业务流程、设备管理、人员管理管控不严。</w:t>
      </w:r>
    </w:p>
    <w:p>
      <w:pPr>
        <w:spacing w:line="560" w:lineRule="exact"/>
        <w:ind w:firstLine="632" w:firstLineChars="200"/>
        <w:rPr>
          <w:rFonts w:hint="eastAsia"/>
          <w:szCs w:val="32"/>
        </w:rPr>
      </w:pPr>
      <w:r>
        <w:rPr>
          <w:rFonts w:hint="eastAsia"/>
          <w:szCs w:val="32"/>
        </w:rPr>
        <w:t>对此，对市场主体而言，各工程施工企业要深刻吸取本次案件教训，牢固树立依法合规投标意识，全面规范投标设备、投标人员、投标流程管理，严禁共用投标设备、委托他人代办投标、企业间私下协作陪标，坚决杜绝各类隐性串通投标行为，切实筑牢合法经营底线。对从业人员而言，投标经办人、项目负责人要熟练掌握招投标法律法规，认清电子招投标设备溯源、数据留痕、全程可查的监管特点，摒弃侥幸心理，规范投标操作行为。对行业监管而言，要持续强化市政公用工程招投标常态化监管，依托电子交易平台大数据筛查、设备指纹比对、异常行为预警等技术手段，严厉打击隐蔽性围串标违法行为，持续净化工程建设市场环境，维护招投标公开、公平、公正的市场秩序。</w:t>
      </w:r>
    </w:p>
    <w:p>
      <w:pPr>
        <w:spacing w:line="560" w:lineRule="exact"/>
        <w:ind w:firstLine="632" w:firstLineChars="200"/>
        <w:rPr>
          <w:rFonts w:hint="eastAsia"/>
          <w:szCs w:val="32"/>
        </w:rPr>
      </w:pPr>
    </w:p>
    <w:p>
      <w:pPr>
        <w:spacing w:line="560" w:lineRule="exact"/>
        <w:ind w:firstLine="632" w:firstLineChars="200"/>
        <w:rPr>
          <w:rFonts w:hint="eastAsia"/>
          <w:szCs w:val="32"/>
        </w:rPr>
      </w:pPr>
    </w:p>
    <w:p>
      <w:pPr>
        <w:spacing w:after="0" w:line="560" w:lineRule="exact"/>
        <w:jc w:val="center"/>
        <w:rPr>
          <w:rFonts w:hint="eastAsia" w:ascii="方正小标宋简体" w:hAnsi="方正小标宋简体" w:eastAsia="方正小标宋简体" w:cs="方正小标宋简体"/>
          <w:b w:val="0"/>
          <w:bCs w:val="0"/>
          <w:color w:val="000000"/>
          <w:kern w:val="0"/>
          <w:sz w:val="44"/>
          <w:szCs w:val="44"/>
          <w:lang w:val="en-US" w:eastAsia="zh-CN" w:bidi="ar-SA"/>
        </w:rPr>
      </w:pPr>
      <w:r>
        <w:rPr>
          <w:rFonts w:hint="eastAsia" w:ascii="方正小标宋简体" w:hAnsi="方正小标宋简体" w:eastAsia="方正小标宋简体" w:cs="方正小标宋简体"/>
          <w:b w:val="0"/>
          <w:bCs w:val="0"/>
          <w:color w:val="000000"/>
          <w:kern w:val="0"/>
          <w:sz w:val="44"/>
          <w:szCs w:val="44"/>
          <w:lang w:val="en-US" w:eastAsia="zh-CN" w:bidi="ar-SA"/>
        </w:rPr>
        <w:t>案例四：某广场建设项目土建工程未批先建</w:t>
      </w:r>
    </w:p>
    <w:p>
      <w:pPr>
        <w:keepNext w:val="0"/>
        <w:keepLines w:val="0"/>
        <w:pageBreakBefore w:val="0"/>
        <w:widowControl w:val="0"/>
        <w:kinsoku/>
        <w:wordWrap/>
        <w:overflowPunct/>
        <w:topLinePunct w:val="0"/>
        <w:autoSpaceDE/>
        <w:autoSpaceDN/>
        <w:bidi w:val="0"/>
        <w:adjustRightInd/>
        <w:snapToGrid w:val="0"/>
        <w:spacing w:before="300" w:after="120" w:line="560" w:lineRule="exact"/>
        <w:ind w:left="0" w:firstLine="632" w:firstLineChars="200"/>
        <w:jc w:val="both"/>
        <w:textAlignment w:val="auto"/>
        <w:outlineLvl w:val="2"/>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一、基本情况</w:t>
      </w:r>
    </w:p>
    <w:p>
      <w:pPr>
        <w:keepNext w:val="0"/>
        <w:keepLines w:val="0"/>
        <w:pageBreakBefore w:val="0"/>
        <w:widowControl w:val="0"/>
        <w:kinsoku/>
        <w:wordWrap/>
        <w:overflowPunct/>
        <w:topLinePunct w:val="0"/>
        <w:autoSpaceDE/>
        <w:autoSpaceDN/>
        <w:bidi w:val="0"/>
        <w:adjustRightInd/>
        <w:snapToGrid w:val="0"/>
        <w:spacing w:before="120" w:after="120" w:line="560" w:lineRule="exact"/>
        <w:ind w:left="0" w:firstLine="632"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属地住建部门在日常工程巡查工作中，发现某广场建设项目土建工程项目存在未取得建筑工程施工许可证、擅自组织施工的违法违规行为。该项目建设单位为某建设发展有限公司，施工单位为某市政工程有限公司，项目属于盘活闲置资产重点项目，参建单位未严格遵守工程建设法定审批流程，在未取得施工许可手续的情况下擅自开工，组织人员、机械设备进场开展施工作业，该行为违反《中华人民共和国建筑法》第七条、《建筑工程施工许可管理办法》第三条规定，构成未批先建、擅自施工的违法行为。</w:t>
      </w:r>
    </w:p>
    <w:p>
      <w:pPr>
        <w:keepNext w:val="0"/>
        <w:keepLines w:val="0"/>
        <w:pageBreakBefore w:val="0"/>
        <w:widowControl w:val="0"/>
        <w:kinsoku/>
        <w:wordWrap/>
        <w:overflowPunct/>
        <w:topLinePunct w:val="0"/>
        <w:autoSpaceDE/>
        <w:autoSpaceDN/>
        <w:bidi w:val="0"/>
        <w:adjustRightInd/>
        <w:snapToGrid w:val="0"/>
        <w:spacing w:before="300" w:after="120" w:line="560" w:lineRule="exact"/>
        <w:ind w:left="0" w:firstLine="632" w:firstLineChars="200"/>
        <w:jc w:val="both"/>
        <w:textAlignment w:val="auto"/>
        <w:outlineLvl w:val="2"/>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二、查处过程</w:t>
      </w:r>
    </w:p>
    <w:p>
      <w:pPr>
        <w:keepNext w:val="0"/>
        <w:keepLines w:val="0"/>
        <w:pageBreakBefore w:val="0"/>
        <w:widowControl w:val="0"/>
        <w:kinsoku/>
        <w:wordWrap/>
        <w:overflowPunct/>
        <w:topLinePunct w:val="0"/>
        <w:autoSpaceDE/>
        <w:autoSpaceDN/>
        <w:bidi w:val="0"/>
        <w:adjustRightInd/>
        <w:snapToGrid w:val="0"/>
        <w:spacing w:before="120" w:after="120" w:line="560" w:lineRule="exact"/>
        <w:ind w:left="0" w:firstLine="632"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属地住建局在日常巡查发现该违法线索后，第一时间核实项目施工进度、审批手续办理情况及参建单位履职情况，确认项目未办理施工许可手续擅自施工的违法事实确凿，</w:t>
      </w:r>
      <w:r>
        <w:rPr>
          <w:rFonts w:hint="eastAsia" w:ascii="仿宋" w:hAnsi="仿宋" w:eastAsia="仿宋" w:cs="仿宋"/>
          <w:kern w:val="0"/>
          <w:sz w:val="32"/>
          <w:szCs w:val="32"/>
          <w:lang w:val="en-US" w:eastAsia="zh-CN"/>
        </w:rPr>
        <w:t>当即</w:t>
      </w:r>
      <w:r>
        <w:rPr>
          <w:rFonts w:hint="eastAsia" w:ascii="仿宋" w:hAnsi="仿宋" w:eastAsia="仿宋" w:cs="仿宋"/>
          <w:kern w:val="0"/>
          <w:sz w:val="32"/>
          <w:szCs w:val="32"/>
        </w:rPr>
        <w:t>向项目责任单位下达停工整改指令，要求立即停止一切施工行为。</w:t>
      </w:r>
    </w:p>
    <w:p>
      <w:pPr>
        <w:keepNext w:val="0"/>
        <w:keepLines w:val="0"/>
        <w:pageBreakBefore w:val="0"/>
        <w:widowControl w:val="0"/>
        <w:kinsoku/>
        <w:wordWrap/>
        <w:overflowPunct/>
        <w:topLinePunct w:val="0"/>
        <w:autoSpaceDE/>
        <w:autoSpaceDN/>
        <w:bidi w:val="0"/>
        <w:adjustRightInd/>
        <w:snapToGrid w:val="0"/>
        <w:spacing w:before="120" w:after="120" w:line="560" w:lineRule="exact"/>
        <w:ind w:left="0" w:firstLine="632"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办案人员调取施工合同、中标通知书、开工报告等相关资料，对相关企业授权委托人开展询问调查，全面收集固定证据，建设单位、施工单位对违法事实予以认可，未提出陈述、申辩及听证申请，案件证据链条完整、事实清晰。调查期间责任单位积极配合执法检查，接到停工通知后立即停止现场施工，主动启动审批手续补办工作。本案严格履行立案、调查终结、法制审核、重大案件集体讨论等法定办案流程，全程跟踪督导，督促责任单位限期整改、补齐手续，推动项目合规建设，依法开展行政处罚工作。</w:t>
      </w:r>
    </w:p>
    <w:p>
      <w:pPr>
        <w:keepNext w:val="0"/>
        <w:keepLines w:val="0"/>
        <w:pageBreakBefore w:val="0"/>
        <w:widowControl w:val="0"/>
        <w:kinsoku/>
        <w:wordWrap/>
        <w:overflowPunct/>
        <w:topLinePunct w:val="0"/>
        <w:autoSpaceDE/>
        <w:autoSpaceDN/>
        <w:bidi w:val="0"/>
        <w:adjustRightInd/>
        <w:snapToGrid w:val="0"/>
        <w:spacing w:before="300" w:after="120" w:line="560" w:lineRule="exact"/>
        <w:ind w:left="0" w:firstLine="632" w:firstLineChars="200"/>
        <w:jc w:val="both"/>
        <w:textAlignment w:val="auto"/>
        <w:outlineLvl w:val="2"/>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三、处理结果</w:t>
      </w:r>
    </w:p>
    <w:p>
      <w:pPr>
        <w:keepNext w:val="0"/>
        <w:keepLines w:val="0"/>
        <w:pageBreakBefore w:val="0"/>
        <w:widowControl w:val="0"/>
        <w:kinsoku/>
        <w:wordWrap/>
        <w:overflowPunct/>
        <w:topLinePunct w:val="0"/>
        <w:autoSpaceDE/>
        <w:autoSpaceDN/>
        <w:bidi w:val="0"/>
        <w:adjustRightInd/>
        <w:snapToGrid w:val="0"/>
        <w:spacing w:before="120" w:after="120" w:line="560" w:lineRule="exact"/>
        <w:ind w:left="0" w:firstLine="632"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该项目未批先建的行为，违反《中华人民共和国建筑法》第七条、《建筑工程施工许可管理办法》第三条规定。依据《建筑工程施工许可管理办法》第十二条、第十五条及《辽宁省住房和城乡建设系统行政处罚裁量权基准（2024版）》相关规定，结合项目初次违法、危害后果轻微且主动整改消除隐患的从轻裁量情形，属地住建局依法作出处罚决定：对建设单位某建设发展有限公司罚款人民币贰拾捌万柒仟贰佰零贰元伍角玖分（¥287202.59元）；对建设单位法定代表人罚款人民币壹万肆仟叁佰陆拾元壹角叁分（¥14360.13元）；对建设单位项目负责人罚款人民币壹万肆仟叁佰陆拾元壹角叁分（¥14360.13元）；对施工单位某市政工程有限公司罚款10000元，对施工单位法定代表人罚款500元，对项目负责人罚款500元。</w:t>
      </w:r>
    </w:p>
    <w:p/>
    <w:p/>
    <w:p/>
    <w:p>
      <w:pPr>
        <w:spacing w:line="560" w:lineRule="exact"/>
        <w:jc w:val="center"/>
        <w:rPr>
          <w:rFonts w:hint="eastAsia" w:ascii="方正小标宋简体" w:hAnsi="方正小标宋简体" w:eastAsia="方正小标宋简体" w:cs="方正小标宋简体"/>
          <w:b w:val="0"/>
          <w:bCs w:val="0"/>
          <w:color w:val="000000"/>
          <w:sz w:val="44"/>
          <w:szCs w:val="44"/>
        </w:rPr>
      </w:pPr>
      <w:bookmarkStart w:id="1" w:name="heading_0"/>
      <w:r>
        <w:rPr>
          <w:rFonts w:hint="eastAsia" w:ascii="方正小标宋简体" w:hAnsi="方正小标宋简体" w:eastAsia="方正小标宋简体" w:cs="方正小标宋简体"/>
          <w:b w:val="0"/>
          <w:bCs w:val="0"/>
          <w:color w:val="000000"/>
          <w:sz w:val="44"/>
          <w:szCs w:val="44"/>
        </w:rPr>
        <w:t>案例</w:t>
      </w:r>
      <w:bookmarkEnd w:id="1"/>
      <w:r>
        <w:rPr>
          <w:rFonts w:hint="eastAsia" w:ascii="方正小标宋简体" w:hAnsi="方正小标宋简体" w:eastAsia="方正小标宋简体" w:cs="方正小标宋简体"/>
          <w:b w:val="0"/>
          <w:bCs w:val="0"/>
          <w:color w:val="000000"/>
          <w:sz w:val="44"/>
          <w:szCs w:val="44"/>
          <w:lang w:val="en-US" w:eastAsia="zh-CN"/>
        </w:rPr>
        <w:t>五</w:t>
      </w:r>
      <w:r>
        <w:rPr>
          <w:rFonts w:hint="eastAsia" w:ascii="方正小标宋简体" w:hAnsi="方正小标宋简体" w:eastAsia="方正小标宋简体" w:cs="方正小标宋简体"/>
          <w:b w:val="0"/>
          <w:bCs w:val="0"/>
          <w:color w:val="000000"/>
          <w:sz w:val="44"/>
          <w:szCs w:val="44"/>
          <w:lang w:eastAsia="zh-CN"/>
        </w:rPr>
        <w:t>：某</w:t>
      </w:r>
      <w:r>
        <w:rPr>
          <w:rFonts w:hint="eastAsia" w:ascii="方正小标宋简体" w:hAnsi="方正小标宋简体" w:eastAsia="方正小标宋简体" w:cs="方正小标宋简体"/>
          <w:b w:val="0"/>
          <w:bCs w:val="0"/>
          <w:color w:val="000000"/>
          <w:sz w:val="44"/>
          <w:szCs w:val="44"/>
        </w:rPr>
        <w:t>住宅小区工程项目允许个人以本单位名义承揽工程</w:t>
      </w:r>
    </w:p>
    <w:p>
      <w:pPr>
        <w:snapToGrid w:val="0"/>
        <w:spacing w:before="120" w:after="120" w:line="560" w:lineRule="exact"/>
        <w:ind w:firstLine="632" w:firstLineChars="200"/>
        <w:rPr>
          <w:rFonts w:hint="eastAsia" w:ascii="黑体" w:hAnsi="黑体" w:eastAsia="黑体" w:cs="黑体"/>
          <w:sz w:val="32"/>
          <w:szCs w:val="32"/>
        </w:rPr>
      </w:pPr>
      <w:bookmarkStart w:id="2" w:name="heading_1"/>
      <w:r>
        <w:rPr>
          <w:rFonts w:hint="eastAsia" w:ascii="黑体" w:hAnsi="黑体" w:eastAsia="黑体" w:cs="黑体"/>
          <w:sz w:val="32"/>
          <w:szCs w:val="32"/>
        </w:rPr>
        <w:t>一、基本情况</w:t>
      </w:r>
      <w:bookmarkEnd w:id="2"/>
    </w:p>
    <w:p>
      <w:pPr>
        <w:snapToGrid w:val="0"/>
        <w:spacing w:before="120" w:after="120" w:line="560" w:lineRule="exact"/>
        <w:ind w:firstLine="632" w:firstLineChars="200"/>
        <w:rPr>
          <w:rFonts w:hint="eastAsia" w:ascii="仿宋" w:hAnsi="仿宋" w:eastAsia="仿宋" w:cs="仿宋"/>
          <w:sz w:val="32"/>
          <w:szCs w:val="32"/>
        </w:rPr>
      </w:pPr>
      <w:r>
        <w:rPr>
          <w:rFonts w:hint="eastAsia" w:ascii="仿宋" w:hAnsi="仿宋" w:eastAsia="仿宋" w:cs="仿宋"/>
          <w:sz w:val="32"/>
          <w:szCs w:val="32"/>
        </w:rPr>
        <w:t>某县住房和城乡建设局收到举报信及相关举报证明材料，反映乙公司在</w:t>
      </w:r>
      <w:r>
        <w:rPr>
          <w:rFonts w:hint="eastAsia" w:ascii="仿宋" w:hAnsi="仿宋" w:eastAsia="仿宋" w:cs="仿宋"/>
          <w:color w:val="000000"/>
          <w:sz w:val="32"/>
          <w:szCs w:val="32"/>
          <w:lang w:eastAsia="zh-CN"/>
        </w:rPr>
        <w:t>某</w:t>
      </w:r>
      <w:r>
        <w:rPr>
          <w:rFonts w:hint="eastAsia" w:ascii="仿宋" w:hAnsi="仿宋" w:eastAsia="仿宋" w:cs="仿宋"/>
          <w:sz w:val="32"/>
          <w:szCs w:val="32"/>
        </w:rPr>
        <w:t>住宅小区工程项目中，</w:t>
      </w:r>
      <w:r>
        <w:rPr>
          <w:rFonts w:hint="eastAsia" w:ascii="仿宋" w:hAnsi="仿宋" w:eastAsia="仿宋" w:cs="仿宋"/>
          <w:sz w:val="32"/>
          <w:szCs w:val="32"/>
          <w:lang w:val="en-US" w:eastAsia="zh-CN"/>
        </w:rPr>
        <w:t>A（个人）</w:t>
      </w:r>
      <w:r>
        <w:rPr>
          <w:rFonts w:hint="eastAsia" w:ascii="仿宋" w:hAnsi="仿宋" w:eastAsia="仿宋" w:cs="仿宋"/>
          <w:sz w:val="32"/>
          <w:szCs w:val="32"/>
        </w:rPr>
        <w:t>以该公司项目负责人身份开展现场施工。经查实，</w:t>
      </w:r>
      <w:r>
        <w:rPr>
          <w:rFonts w:hint="eastAsia" w:ascii="仿宋" w:hAnsi="仿宋" w:eastAsia="仿宋" w:cs="仿宋"/>
          <w:color w:val="000000"/>
          <w:sz w:val="32"/>
          <w:szCs w:val="32"/>
          <w:lang w:eastAsia="zh-CN"/>
        </w:rPr>
        <w:t>某</w:t>
      </w:r>
      <w:r>
        <w:rPr>
          <w:rFonts w:hint="eastAsia" w:ascii="仿宋" w:hAnsi="仿宋" w:eastAsia="仿宋" w:cs="仿宋"/>
          <w:sz w:val="32"/>
          <w:szCs w:val="32"/>
        </w:rPr>
        <w:t>住宅小区工程由甲地产置业有限公司开发，项目先后更换施工单位，后期由乙公司承接，后甲、乙俩家公司与实际施工人</w:t>
      </w:r>
      <w:r>
        <w:rPr>
          <w:rFonts w:hint="eastAsia" w:ascii="仿宋" w:hAnsi="仿宋" w:eastAsia="仿宋" w:cs="仿宋"/>
          <w:sz w:val="32"/>
          <w:szCs w:val="32"/>
          <w:lang w:val="en-US" w:eastAsia="zh-CN"/>
        </w:rPr>
        <w:t>A</w:t>
      </w:r>
      <w:r>
        <w:rPr>
          <w:rFonts w:hint="eastAsia" w:ascii="仿宋" w:hAnsi="仿宋" w:eastAsia="仿宋" w:cs="仿宋"/>
          <w:sz w:val="32"/>
          <w:szCs w:val="32"/>
        </w:rPr>
        <w:t>发生建设工程合同纠纷，项目停工。乙公司存在允许个人</w:t>
      </w:r>
      <w:r>
        <w:rPr>
          <w:rFonts w:hint="eastAsia" w:ascii="仿宋" w:hAnsi="仿宋" w:eastAsia="仿宋" w:cs="仿宋"/>
          <w:sz w:val="32"/>
          <w:szCs w:val="32"/>
          <w:lang w:val="en-US" w:eastAsia="zh-CN"/>
        </w:rPr>
        <w:t>A</w:t>
      </w:r>
      <w:r>
        <w:rPr>
          <w:rFonts w:hint="eastAsia" w:ascii="仿宋" w:hAnsi="仿宋" w:eastAsia="仿宋" w:cs="仿宋"/>
          <w:sz w:val="32"/>
          <w:szCs w:val="32"/>
        </w:rPr>
        <w:t>使用本企业名义承揽工程的行为，该行为违反《中华人民共和国建筑法》第二十六条规定，构成允许其他个人以本单位名义承揽工程的违法行为。</w:t>
      </w:r>
    </w:p>
    <w:p>
      <w:pPr>
        <w:snapToGrid w:val="0"/>
        <w:spacing w:before="120" w:after="120" w:line="560" w:lineRule="exact"/>
        <w:ind w:firstLine="632" w:firstLineChars="200"/>
        <w:rPr>
          <w:rFonts w:hint="eastAsia" w:ascii="黑体" w:hAnsi="黑体" w:eastAsia="黑体" w:cs="黑体"/>
          <w:sz w:val="32"/>
          <w:szCs w:val="32"/>
        </w:rPr>
      </w:pPr>
      <w:bookmarkStart w:id="3" w:name="heading_2"/>
      <w:r>
        <w:rPr>
          <w:rFonts w:hint="eastAsia" w:ascii="黑体" w:hAnsi="黑体" w:eastAsia="黑体" w:cs="黑体"/>
          <w:sz w:val="32"/>
          <w:szCs w:val="32"/>
        </w:rPr>
        <w:t>二、查处过程</w:t>
      </w:r>
      <w:bookmarkEnd w:id="3"/>
    </w:p>
    <w:p>
      <w:pPr>
        <w:snapToGrid w:val="0"/>
        <w:spacing w:before="120" w:after="120" w:line="560" w:lineRule="exact"/>
        <w:ind w:firstLine="632" w:firstLineChars="200"/>
        <w:rPr>
          <w:rFonts w:hint="eastAsia" w:ascii="仿宋_GB2312" w:hAnsi="仿宋_GB2312" w:eastAsia="仿宋_GB2312" w:cs="仿宋_GB2312"/>
          <w:sz w:val="32"/>
          <w:szCs w:val="32"/>
        </w:rPr>
      </w:pPr>
      <w:bookmarkStart w:id="4" w:name="heading_3"/>
      <w:r>
        <w:rPr>
          <w:rFonts w:hint="eastAsia" w:ascii="仿宋" w:hAnsi="仿宋" w:eastAsia="仿宋" w:cs="仿宋"/>
          <w:sz w:val="32"/>
          <w:szCs w:val="32"/>
        </w:rPr>
        <w:t>县住房和城乡建设局接到举报线索后，于2025年3月7日启动调查，2025年3月17日正式立案。办案人员调取乙公司情况说明、工程款拨款记录、法院庭审笔录等证据开展核查，固定完整证据链。案件调查终结后，履行内部案件审核、集体讨论程序，向涉案单位送达行政处罚听证告知书。乙公司提出听证申请，主管部门依法发布听证公告，于2025年6月9日组织召开公开听证会，充分保障当事人陈述、申辩、听证权利，经听证程序复核后确认违法事实清楚、证据充分、定性准确、程序合法，依法作出行政处罚决定。</w:t>
      </w:r>
    </w:p>
    <w:p>
      <w:pPr>
        <w:snapToGrid w:val="0"/>
        <w:spacing w:before="120" w:after="120" w:line="560" w:lineRule="exact"/>
        <w:ind w:firstLine="632" w:firstLineChars="200"/>
        <w:rPr>
          <w:rFonts w:hint="eastAsia" w:ascii="黑体" w:hAnsi="黑体" w:eastAsia="黑体" w:cs="黑体"/>
          <w:sz w:val="32"/>
          <w:szCs w:val="32"/>
        </w:rPr>
      </w:pPr>
      <w:r>
        <w:rPr>
          <w:rFonts w:hint="eastAsia" w:ascii="黑体" w:hAnsi="黑体" w:eastAsia="黑体" w:cs="黑体"/>
          <w:sz w:val="32"/>
          <w:szCs w:val="32"/>
        </w:rPr>
        <w:t>三、处理结果</w:t>
      </w:r>
      <w:bookmarkEnd w:id="4"/>
    </w:p>
    <w:p>
      <w:pPr>
        <w:snapToGrid w:val="0"/>
        <w:spacing w:before="120" w:after="120" w:line="560" w:lineRule="exact"/>
        <w:ind w:firstLine="632" w:firstLineChars="200"/>
        <w:rPr>
          <w:rFonts w:hint="eastAsia" w:ascii="仿宋" w:hAnsi="仿宋" w:eastAsia="仿宋" w:cs="仿宋"/>
          <w:sz w:val="32"/>
          <w:szCs w:val="32"/>
        </w:rPr>
      </w:pPr>
      <w:bookmarkStart w:id="5" w:name="heading_4"/>
      <w:r>
        <w:rPr>
          <w:rFonts w:hint="eastAsia" w:ascii="仿宋" w:hAnsi="仿宋" w:eastAsia="仿宋" w:cs="仿宋"/>
          <w:sz w:val="32"/>
          <w:szCs w:val="32"/>
        </w:rPr>
        <w:t>该单位允许其他个人以本单位名义承揽工程，违反《中华人民共和国建筑法》第二十六条、《建设工程质量管理条例》第六十一条规定。2025年6月13日，县住房和城乡建设局依法作出《行政处罚决定书》。依据《建设工程质量管理条例》及《辽宁省住房和城乡建设系统行政处罚裁量权基准（2024版）》第八十五条相关规定，鉴于该单位配合行政检查、无违法所得，认定为一般违法情节，作出处罚：给予警告，责令改正，按照项目工程合同价款的2.2%处以罚款并对处罚予以公告。</w:t>
      </w:r>
      <w:bookmarkEnd w:id="5"/>
    </w:p>
    <w:p>
      <w:pPr>
        <w:snapToGrid w:val="0"/>
        <w:spacing w:before="120" w:after="120" w:line="560" w:lineRule="exact"/>
        <w:rPr>
          <w:rFonts w:hint="eastAsia" w:ascii="仿宋_GB2312" w:hAnsi="仿宋_GB2312" w:eastAsia="仿宋_GB2312" w:cs="仿宋_GB2312"/>
          <w:sz w:val="32"/>
          <w:szCs w:val="32"/>
        </w:rPr>
      </w:pPr>
    </w:p>
    <w:p/>
    <w:p/>
    <w:p/>
    <w:p/>
    <w:p/>
    <w:p/>
    <w:p/>
    <w:p/>
    <w:p/>
    <w:p/>
    <w:p/>
    <w:p>
      <w:pPr>
        <w:spacing w:line="560" w:lineRule="exact"/>
        <w:jc w:val="center"/>
        <w:rPr>
          <w:rFonts w:hint="eastAsia" w:ascii="方正小标宋简体" w:hAnsi="方正小标宋简体" w:eastAsia="方正小标宋简体" w:cs="方正小标宋简体"/>
          <w:b w:val="0"/>
          <w:bCs w:val="0"/>
          <w:color w:val="000000"/>
          <w:sz w:val="44"/>
          <w:szCs w:val="44"/>
          <w:lang w:val="en-US" w:eastAsia="zh-CN" w:bidi="ar-SA"/>
        </w:rPr>
      </w:pPr>
      <w:r>
        <w:rPr>
          <w:rFonts w:hint="eastAsia" w:ascii="方正小标宋简体" w:hAnsi="方正小标宋简体" w:eastAsia="方正小标宋简体" w:cs="方正小标宋简体"/>
          <w:b w:val="0"/>
          <w:bCs w:val="0"/>
          <w:color w:val="000000"/>
          <w:sz w:val="44"/>
          <w:szCs w:val="44"/>
          <w:lang w:val="en-US" w:eastAsia="zh-CN"/>
        </w:rPr>
        <w:t>案例六：某市政工程项目转包</w:t>
      </w:r>
    </w:p>
    <w:p>
      <w:pPr>
        <w:keepNext w:val="0"/>
        <w:keepLines w:val="0"/>
        <w:pageBreakBefore w:val="0"/>
        <w:widowControl w:val="0"/>
        <w:kinsoku/>
        <w:wordWrap/>
        <w:overflowPunct/>
        <w:topLinePunct w:val="0"/>
        <w:autoSpaceDE/>
        <w:autoSpaceDN/>
        <w:bidi w:val="0"/>
        <w:adjustRightInd/>
        <w:snapToGrid w:val="0"/>
        <w:spacing w:before="300" w:after="120" w:line="560" w:lineRule="exact"/>
        <w:ind w:left="0" w:firstLine="632" w:firstLineChars="200"/>
        <w:jc w:val="both"/>
        <w:textAlignment w:val="auto"/>
        <w:outlineLvl w:val="2"/>
        <w:rPr>
          <w:rFonts w:hint="eastAsia" w:ascii="仿宋_GB2312" w:hAnsi="仿宋_GB2312" w:eastAsia="仿宋_GB2312" w:cs="仿宋_GB2312"/>
          <w:sz w:val="32"/>
          <w:szCs w:val="32"/>
        </w:rPr>
      </w:pPr>
      <w:r>
        <w:rPr>
          <w:rFonts w:hint="eastAsia" w:ascii="黑体" w:hAnsi="黑体" w:eastAsia="黑体" w:cs="黑体"/>
          <w:b w:val="0"/>
          <w:bCs/>
          <w:sz w:val="32"/>
          <w:szCs w:val="32"/>
        </w:rPr>
        <w:t>一、基本情况</w:t>
      </w:r>
    </w:p>
    <w:p>
      <w:pPr>
        <w:keepNext w:val="0"/>
        <w:keepLines w:val="0"/>
        <w:pageBreakBefore w:val="0"/>
        <w:widowControl w:val="0"/>
        <w:kinsoku/>
        <w:wordWrap/>
        <w:overflowPunct/>
        <w:topLinePunct w:val="0"/>
        <w:autoSpaceDE/>
        <w:autoSpaceDN/>
        <w:bidi w:val="0"/>
        <w:adjustRightInd/>
        <w:snapToGrid w:val="0"/>
        <w:spacing w:before="120" w:after="120" w:line="560" w:lineRule="exact"/>
        <w:ind w:left="0" w:firstLine="632" w:firstLineChars="200"/>
        <w:jc w:val="both"/>
        <w:textAlignment w:val="auto"/>
        <w:rPr>
          <w:rFonts w:hint="eastAsia" w:ascii="仿宋" w:hAnsi="仿宋" w:eastAsia="仿宋" w:cs="仿宋"/>
          <w:b w:val="0"/>
          <w:bCs/>
          <w:sz w:val="32"/>
          <w:szCs w:val="32"/>
        </w:rPr>
      </w:pPr>
      <w:r>
        <w:rPr>
          <w:rFonts w:hint="eastAsia" w:ascii="仿宋" w:hAnsi="仿宋" w:eastAsia="仿宋" w:cs="仿宋"/>
          <w:sz w:val="32"/>
          <w:szCs w:val="32"/>
          <w:lang w:val="en-US" w:eastAsia="zh-CN"/>
        </w:rPr>
        <w:t xml:space="preserve">某市政工程项目施工总承包单位A公司通过公开招标投标中标方式取得建设资格，但在施工过程中，工程项目管理部无A公司派驻的任何关键岗位管理人员，施工现场实际组织施工人员非A公司人员，中标单位A公司未实际履行总承包管理职责。依据《建筑工程施工发包与承包违法行为认定查处管理办法》第八条，项目涉嫌转包，该行为违反了《中华人民共和国建筑法》第二十八条、《建设工程质量管理条例》第二十五条第三款的规定。 </w:t>
      </w:r>
    </w:p>
    <w:p>
      <w:pPr>
        <w:keepNext w:val="0"/>
        <w:keepLines w:val="0"/>
        <w:pageBreakBefore w:val="0"/>
        <w:widowControl w:val="0"/>
        <w:kinsoku/>
        <w:wordWrap/>
        <w:overflowPunct/>
        <w:topLinePunct w:val="0"/>
        <w:autoSpaceDE/>
        <w:autoSpaceDN/>
        <w:bidi w:val="0"/>
        <w:adjustRightInd/>
        <w:snapToGrid w:val="0"/>
        <w:spacing w:before="300" w:after="120" w:line="560" w:lineRule="exact"/>
        <w:ind w:left="0" w:firstLine="632" w:firstLineChars="200"/>
        <w:jc w:val="both"/>
        <w:textAlignment w:val="auto"/>
        <w:outlineLvl w:val="2"/>
        <w:rPr>
          <w:rFonts w:hint="eastAsia" w:ascii="黑体" w:hAnsi="黑体" w:eastAsia="黑体" w:cs="黑体"/>
          <w:b w:val="0"/>
          <w:bCs/>
          <w:sz w:val="32"/>
          <w:szCs w:val="32"/>
        </w:rPr>
      </w:pPr>
      <w:r>
        <w:rPr>
          <w:rFonts w:hint="eastAsia" w:ascii="黑体" w:hAnsi="黑体" w:eastAsia="黑体" w:cs="黑体"/>
          <w:b w:val="0"/>
          <w:bCs/>
          <w:sz w:val="32"/>
          <w:szCs w:val="32"/>
        </w:rPr>
        <w:t>二、查处过程</w:t>
      </w:r>
    </w:p>
    <w:p>
      <w:pPr>
        <w:keepNext w:val="0"/>
        <w:keepLines w:val="0"/>
        <w:pageBreakBefore w:val="0"/>
        <w:widowControl w:val="0"/>
        <w:kinsoku/>
        <w:wordWrap/>
        <w:overflowPunct/>
        <w:topLinePunct w:val="0"/>
        <w:autoSpaceDE/>
        <w:autoSpaceDN/>
        <w:bidi w:val="0"/>
        <w:adjustRightInd/>
        <w:snapToGrid w:val="0"/>
        <w:spacing w:before="120" w:after="120" w:line="560" w:lineRule="exact"/>
        <w:ind w:left="0" w:firstLine="632"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7月，监管部门就该项目涉嫌转包问题正式立案调查，通过对项目相关资料进一步核查、对相关人员进行询问调查，证实A公司未落实主体履约行为，A公司在该项目备案的关键岗位管理人员未实际履职，A公司派驻的项目经理约2个月前从A公司离职并将社保关系及注册信息调转至B公司，已不属于A公司人员，现场实际施工人为个人，核实确认A公司转包行为情况属实。2025年10月，监管部门按照行政处罚程序对案涉单位及相关人员下达《行政处罚决定书》，案涉单位及相关人员在法定期限内未申请行政复议、未提起行政诉讼，并在期限内履行处罚决定内容，监管部门依法办理结案手续，案件办理完毕。</w:t>
      </w:r>
    </w:p>
    <w:p>
      <w:pPr>
        <w:keepNext w:val="0"/>
        <w:keepLines w:val="0"/>
        <w:pageBreakBefore w:val="0"/>
        <w:widowControl w:val="0"/>
        <w:kinsoku/>
        <w:wordWrap/>
        <w:overflowPunct/>
        <w:topLinePunct w:val="0"/>
        <w:autoSpaceDE/>
        <w:autoSpaceDN/>
        <w:bidi w:val="0"/>
        <w:adjustRightInd/>
        <w:snapToGrid w:val="0"/>
        <w:spacing w:before="300" w:after="120" w:line="560" w:lineRule="exact"/>
        <w:ind w:left="0" w:firstLine="632" w:firstLineChars="200"/>
        <w:jc w:val="both"/>
        <w:textAlignment w:val="auto"/>
        <w:outlineLvl w:val="2"/>
        <w:rPr>
          <w:rFonts w:hint="eastAsia" w:ascii="黑体" w:hAnsi="黑体" w:eastAsia="黑体" w:cs="黑体"/>
          <w:b w:val="0"/>
          <w:bCs/>
          <w:sz w:val="32"/>
          <w:szCs w:val="32"/>
        </w:rPr>
      </w:pPr>
      <w:r>
        <w:rPr>
          <w:rFonts w:hint="eastAsia" w:ascii="黑体" w:hAnsi="黑体" w:eastAsia="黑体" w:cs="黑体"/>
          <w:b w:val="0"/>
          <w:bCs/>
          <w:sz w:val="32"/>
          <w:szCs w:val="32"/>
        </w:rPr>
        <w:t>三、处理结果</w:t>
      </w:r>
    </w:p>
    <w:p>
      <w:pPr>
        <w:keepNext w:val="0"/>
        <w:keepLines w:val="0"/>
        <w:pageBreakBefore w:val="0"/>
        <w:widowControl w:val="0"/>
        <w:kinsoku/>
        <w:wordWrap/>
        <w:overflowPunct/>
        <w:topLinePunct w:val="0"/>
        <w:autoSpaceDE/>
        <w:autoSpaceDN/>
        <w:bidi w:val="0"/>
        <w:adjustRightInd/>
        <w:snapToGrid w:val="0"/>
        <w:spacing w:before="120" w:after="120" w:line="560" w:lineRule="exact"/>
        <w:ind w:left="0" w:firstLine="632" w:firstLineChars="200"/>
        <w:jc w:val="both"/>
        <w:textAlignment w:val="auto"/>
        <w:rPr>
          <w:rFonts w:hint="eastAsia" w:ascii="仿宋_GB2312" w:hAnsi="仿宋_GB2312" w:eastAsia="仿宋_GB2312" w:cs="仿宋_GB2312"/>
          <w:sz w:val="32"/>
          <w:szCs w:val="32"/>
        </w:rPr>
      </w:pPr>
      <w:r>
        <w:rPr>
          <w:rFonts w:hint="eastAsia" w:ascii="仿宋" w:hAnsi="仿宋" w:eastAsia="仿宋" w:cs="仿宋"/>
          <w:sz w:val="32"/>
          <w:szCs w:val="32"/>
        </w:rPr>
        <w:t>依据《中华人民共和国建筑法》、《建设工程质量管理条例》及《辽宁省住房和城乡建设系统行政处罚裁量权基准》相关规定，结合项目违法事实</w:t>
      </w:r>
      <w:r>
        <w:rPr>
          <w:rFonts w:hint="eastAsia" w:ascii="仿宋" w:hAnsi="仿宋" w:eastAsia="仿宋" w:cs="仿宋"/>
          <w:sz w:val="32"/>
          <w:szCs w:val="32"/>
          <w:lang w:val="en-US" w:eastAsia="zh-CN"/>
        </w:rPr>
        <w:t>及</w:t>
      </w:r>
      <w:r>
        <w:rPr>
          <w:rFonts w:hint="eastAsia" w:ascii="仿宋" w:hAnsi="仿宋" w:eastAsia="仿宋" w:cs="仿宋"/>
          <w:sz w:val="32"/>
          <w:szCs w:val="32"/>
        </w:rPr>
        <w:t>情节程度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对项目施工总承包单位A公司作出责令改正违法行为，处</w:t>
      </w:r>
      <w:r>
        <w:rPr>
          <w:rFonts w:hint="eastAsia" w:ascii="仿宋" w:hAnsi="仿宋" w:eastAsia="仿宋" w:cs="仿宋"/>
          <w:sz w:val="32"/>
          <w:szCs w:val="32"/>
        </w:rPr>
        <w:t>工程合同价</w:t>
      </w:r>
      <w:r>
        <w:rPr>
          <w:rFonts w:hint="eastAsia" w:ascii="仿宋" w:hAnsi="仿宋" w:eastAsia="仿宋" w:cs="仿宋"/>
          <w:sz w:val="32"/>
          <w:szCs w:val="32"/>
          <w:lang w:val="en-US" w:eastAsia="zh-CN"/>
        </w:rPr>
        <w:t>0.73</w:t>
      </w:r>
      <w:r>
        <w:rPr>
          <w:rFonts w:hint="eastAsia" w:ascii="仿宋" w:hAnsi="仿宋" w:eastAsia="仿宋" w:cs="仿宋"/>
          <w:sz w:val="32"/>
          <w:szCs w:val="32"/>
        </w:rPr>
        <w:t>%</w:t>
      </w:r>
      <w:r>
        <w:rPr>
          <w:rFonts w:hint="eastAsia" w:ascii="仿宋" w:hAnsi="仿宋" w:eastAsia="仿宋" w:cs="仿宋"/>
          <w:sz w:val="32"/>
          <w:szCs w:val="32"/>
          <w:lang w:val="en-US" w:eastAsia="zh-CN"/>
        </w:rPr>
        <w:t>的</w:t>
      </w:r>
      <w:r>
        <w:rPr>
          <w:rFonts w:hint="eastAsia" w:ascii="仿宋" w:hAnsi="仿宋" w:eastAsia="仿宋" w:cs="仿宋"/>
          <w:sz w:val="32"/>
          <w:szCs w:val="32"/>
        </w:rPr>
        <w:t>罚款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罚款金额57500元</w:t>
      </w:r>
      <w:r>
        <w:rPr>
          <w:rFonts w:hint="eastAsia" w:ascii="仿宋" w:hAnsi="仿宋" w:eastAsia="仿宋" w:cs="仿宋"/>
          <w:sz w:val="32"/>
          <w:szCs w:val="32"/>
        </w:rPr>
        <w:t>；对单位直接负责的主管人员和其他直接责任人员</w:t>
      </w:r>
      <w:r>
        <w:rPr>
          <w:rFonts w:hint="eastAsia" w:ascii="仿宋" w:hAnsi="仿宋" w:eastAsia="仿宋" w:cs="仿宋"/>
          <w:sz w:val="32"/>
          <w:szCs w:val="32"/>
          <w:lang w:val="en-US" w:eastAsia="zh-CN"/>
        </w:rPr>
        <w:t>处</w:t>
      </w:r>
      <w:r>
        <w:rPr>
          <w:rFonts w:hint="eastAsia" w:ascii="仿宋" w:hAnsi="仿宋" w:eastAsia="仿宋" w:cs="仿宋"/>
          <w:sz w:val="32"/>
          <w:szCs w:val="32"/>
        </w:rPr>
        <w:t>单位罚款数额</w:t>
      </w:r>
      <w:r>
        <w:rPr>
          <w:rFonts w:hint="eastAsia" w:ascii="仿宋" w:hAnsi="仿宋" w:eastAsia="仿宋" w:cs="仿宋"/>
          <w:sz w:val="32"/>
          <w:szCs w:val="32"/>
          <w:lang w:val="en-US" w:eastAsia="zh-CN"/>
        </w:rPr>
        <w:t>7.3</w:t>
      </w:r>
      <w:r>
        <w:rPr>
          <w:rFonts w:hint="eastAsia" w:ascii="仿宋" w:hAnsi="仿宋" w:eastAsia="仿宋" w:cs="仿宋"/>
          <w:sz w:val="32"/>
          <w:szCs w:val="32"/>
        </w:rPr>
        <w:t>%</w:t>
      </w:r>
      <w:r>
        <w:rPr>
          <w:rFonts w:hint="eastAsia" w:ascii="仿宋" w:hAnsi="仿宋" w:eastAsia="仿宋" w:cs="仿宋"/>
          <w:sz w:val="32"/>
          <w:szCs w:val="32"/>
          <w:lang w:val="en-US" w:eastAsia="zh-CN"/>
        </w:rPr>
        <w:t>的</w:t>
      </w:r>
      <w:r>
        <w:rPr>
          <w:rFonts w:hint="eastAsia" w:ascii="仿宋" w:hAnsi="仿宋" w:eastAsia="仿宋" w:cs="仿宋"/>
          <w:sz w:val="32"/>
          <w:szCs w:val="32"/>
        </w:rPr>
        <w:t>罚款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罚款金额4200元</w:t>
      </w:r>
      <w:r>
        <w:rPr>
          <w:rFonts w:hint="eastAsia" w:ascii="仿宋" w:hAnsi="仿宋" w:eastAsia="仿宋" w:cs="仿宋"/>
          <w:sz w:val="32"/>
          <w:szCs w:val="32"/>
        </w:rPr>
        <w:t>。案涉主体已</w:t>
      </w:r>
      <w:r>
        <w:rPr>
          <w:rFonts w:hint="eastAsia" w:ascii="仿宋" w:hAnsi="仿宋" w:eastAsia="仿宋" w:cs="仿宋"/>
          <w:sz w:val="32"/>
          <w:szCs w:val="32"/>
          <w:lang w:val="en-US" w:eastAsia="zh-CN"/>
        </w:rPr>
        <w:t>全面</w:t>
      </w:r>
      <w:r>
        <w:rPr>
          <w:rFonts w:hint="eastAsia" w:ascii="仿宋" w:hAnsi="仿宋" w:eastAsia="仿宋" w:cs="仿宋"/>
          <w:sz w:val="32"/>
          <w:szCs w:val="32"/>
        </w:rPr>
        <w:t>履行处罚决定</w:t>
      </w:r>
      <w:r>
        <w:rPr>
          <w:rFonts w:hint="eastAsia" w:ascii="仿宋" w:hAnsi="仿宋" w:eastAsia="仿宋" w:cs="仿宋"/>
          <w:sz w:val="32"/>
          <w:szCs w:val="32"/>
          <w:lang w:val="en-US" w:eastAsia="zh-CN"/>
        </w:rPr>
        <w:t>内容</w:t>
      </w:r>
      <w:r>
        <w:rPr>
          <w:rFonts w:hint="eastAsia" w:ascii="仿宋" w:hAnsi="仿宋" w:eastAsia="仿宋" w:cs="仿宋"/>
          <w:sz w:val="32"/>
          <w:szCs w:val="32"/>
        </w:rPr>
        <w:t>，违法问题整改到位</w:t>
      </w:r>
      <w:r>
        <w:rPr>
          <w:rFonts w:hint="eastAsia" w:ascii="仿宋" w:hAnsi="仿宋" w:eastAsia="仿宋" w:cs="仿宋"/>
          <w:sz w:val="32"/>
          <w:szCs w:val="32"/>
          <w:lang w:val="en-US" w:eastAsia="zh-CN"/>
        </w:rPr>
        <w:t>并足额缴纳罚款。</w:t>
      </w:r>
    </w:p>
    <w:p>
      <w:pPr>
        <w:keepNext w:val="0"/>
        <w:keepLines w:val="0"/>
        <w:pageBreakBefore w:val="0"/>
        <w:widowControl w:val="0"/>
        <w:kinsoku/>
        <w:wordWrap/>
        <w:overflowPunct/>
        <w:topLinePunct w:val="0"/>
        <w:autoSpaceDE/>
        <w:autoSpaceDN/>
        <w:bidi w:val="0"/>
        <w:adjustRightInd/>
        <w:snapToGrid w:val="0"/>
        <w:spacing w:before="120" w:after="120" w:line="560" w:lineRule="exact"/>
        <w:ind w:left="0"/>
        <w:jc w:val="both"/>
        <w:textAlignment w:val="auto"/>
        <w:rPr>
          <w:rFonts w:hint="eastAsia" w:ascii="仿宋_GB2312" w:hAnsi="仿宋_GB2312" w:eastAsia="仿宋_GB2312" w:cs="仿宋_GB2312"/>
          <w:sz w:val="32"/>
          <w:szCs w:val="32"/>
        </w:rPr>
      </w:pPr>
    </w:p>
    <w:p>
      <w:pPr>
        <w:rPr>
          <w:rFonts w:hint="eastAsia" w:eastAsia="宋体"/>
          <w:lang w:val="en-US" w:eastAsia="zh-CN"/>
        </w:rPr>
      </w:pPr>
    </w:p>
    <w:p>
      <w:pPr>
        <w:spacing w:line="560" w:lineRule="exact"/>
        <w:rPr>
          <w:rFonts w:hint="eastAsia"/>
          <w:szCs w:val="32"/>
        </w:rPr>
      </w:pPr>
    </w:p>
    <w:sectPr>
      <w:footerReference r:id="rId3" w:type="default"/>
      <w:footerReference r:id="rId4" w:type="even"/>
      <w:pgSz w:w="11906" w:h="16838"/>
      <w:pgMar w:top="2098" w:right="1474" w:bottom="1985" w:left="1588" w:header="851" w:footer="1474" w:gutter="0"/>
      <w:pgNumType w:fmt="numberInDash" w:start="1"/>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原版宋体"/>
    <w:panose1 w:val="02010600030101010101"/>
    <w:charset w:val="86"/>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等线 Light">
    <w:altName w:val="原版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等线 Light">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1"/>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11"/>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58"/>
  <w:drawingGridVerticalSpacing w:val="579"/>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9FB"/>
    <w:rsid w:val="004341FD"/>
    <w:rsid w:val="006F171F"/>
    <w:rsid w:val="00725904"/>
    <w:rsid w:val="009264AE"/>
    <w:rsid w:val="00A506C7"/>
    <w:rsid w:val="00A859FB"/>
    <w:rsid w:val="00AD3947"/>
    <w:rsid w:val="00E826DE"/>
    <w:rsid w:val="00F00C20"/>
    <w:rsid w:val="00F2079D"/>
    <w:rsid w:val="00F6035A"/>
    <w:rsid w:val="0D214DFE"/>
    <w:rsid w:val="28033332"/>
    <w:rsid w:val="34983587"/>
    <w:rsid w:val="36BFFC60"/>
    <w:rsid w:val="534B6D4B"/>
    <w:rsid w:val="FFC6D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semiHidden/>
    <w:unhideWhenUsed/>
    <w:qFormat/>
    <w:uiPriority w:val="99"/>
    <w:pPr>
      <w:tabs>
        <w:tab w:val="center" w:pos="4153"/>
        <w:tab w:val="right" w:pos="8306"/>
      </w:tabs>
      <w:snapToGrid w:val="0"/>
      <w:jc w:val="left"/>
    </w:pPr>
    <w:rPr>
      <w:sz w:val="18"/>
    </w:rPr>
  </w:style>
  <w:style w:type="paragraph" w:styleId="12">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szCs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2153</Words>
  <Characters>2190</Characters>
  <Lines>15</Lines>
  <Paragraphs>4</Paragraphs>
  <TotalTime>4</TotalTime>
  <ScaleCrop>false</ScaleCrop>
  <LinksUpToDate>false</LinksUpToDate>
  <CharactersWithSpaces>2190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2026-09-16T23:20:00Z</dcterms:created>
  <dc:creator>順義 王</dc:creator>
  <cp:lastModifiedBy>Miracle.</cp:lastModifiedBy>
  <dcterms:modified xsi:type="dcterms:W3CDTF">2026-10-28T16:35:00Z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BA18A96E36D94A0080C7A05776DBC409_13</vt:lpwstr>
  </property>
  <property fmtid="{D5CDD505-2E9C-101B-9397-08002B2CF9AE}" pid="4" name="KSOTemplateDocerSaveRecord">
    <vt:lpwstr>eyJoZGlkIjoiZTdhMzI3MTZlY2ZjNTFlM2VhZjJhNWNjYWM3ZDI2ZmMiLCJ1c2VySWQiOiI0NzM1MTU3NzIifQ==</vt:lpwstr>
  </property>
</Properties>
</file>